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9720" w:type="dxa"/>
        <w:tblInd w:w="-110" w:type="dxa"/>
        <w:tblLook w:val="0000" w:firstRow="0" w:lastRow="0" w:firstColumn="0" w:lastColumn="0" w:noHBand="0" w:noVBand="0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20"/>
      </w:tblGrid>
      <w:tr>
        <w:tc>
          <w:tcPr>
            <w:tcW w:w="9720" w:type="dxa"/>
          </w:tcPr>
          <w:p>
            <w:pPr>
              <w:widowControl w:val="off"/>
              <w:suppressAutoHyphens/>
              <w:jc w:val="right"/>
              <w:suppressAutoHyphens/>
              <w:rPr>
                <w:b/>
                <w:sz w:val="16"/>
                <w:szCs w:val="16"/>
              </w:rPr>
            </w:pPr>
          </w:p>
          <w:p>
            <w:pPr>
              <w:widowControl w:val="off"/>
              <w:suppressAutoHyphens/>
              <w:jc w:val="center"/>
              <w:suppressAutoHyphens/>
              <w:rPr>
                <w:b/>
              </w:rPr>
            </w:pPr>
            <w:r>
              <w:rPr>
                <w:b/>
                <w:noProof/>
                <w:sz w:val="72"/>
              </w:rPr>
              <w:drawing>
                <wp:inline distT="0" distB="0" distL="0" distR="0">
                  <wp:extent cx="914400" cy="993775"/>
                  <wp:effectExtent l="0" t="0" r="0" b="0"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93775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  <w:insideH w:val="thinThickSmallGap" w:sz="12" w:space="0" w:color="auto"/>
            <w:insideV w:val="thinThickSmallGap" w:sz="1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off"/>
              <w:suppressAutoHyphens/>
              <w:jc w:val="center"/>
              <w:suppressAutoHyphens/>
              <w:rPr>
                <w:b/>
                <w:sz w:val="16"/>
                <w:szCs w:val="16"/>
              </w:rPr>
            </w:pPr>
            <w:r>
              <w:rPr>
                <w:caps/>
                <w:b/>
              </w:rPr>
              <w:t>Коми республикаса видз-му овм</w:t>
            </w:r>
            <w:r>
              <w:rPr>
                <w:b/>
              </w:rPr>
              <w:t>Ö</w:t>
            </w:r>
            <w:r>
              <w:rPr>
                <w:caps/>
                <w:b/>
              </w:rPr>
              <w:t>с да ПОТРЕБИТЕЛЬСК</w:t>
            </w:r>
            <w:r>
              <w:rPr>
                <w:b/>
              </w:rPr>
              <w:t>Ö</w:t>
            </w:r>
            <w:r>
              <w:rPr>
                <w:caps/>
                <w:b/>
              </w:rPr>
              <w:t>Й РЫНОК Министерство</w:t>
            </w:r>
          </w:p>
        </w:tc>
      </w:tr>
      <w:tr>
        <w:tblPrEx>
          <w:tblBorders>
            <w:top w:val="thinThickSmallGap" w:sz="1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9720" w:type="dxa"/>
            <w:tcBorders>
              <w:top w:val="thinThickSmallGap" w:sz="12" w:space="0" w:color="auto"/>
            </w:tcBorders>
          </w:tcPr>
          <w:p>
            <w:pPr>
              <w:widowControl w:val="off"/>
              <w:suppressAutoHyphens/>
              <w:jc w:val="center"/>
              <w:suppressAutoHyphens/>
              <w:rPr>
                <w:caps/>
                <w:b/>
                <w:sz w:val="28"/>
                <w:szCs w:val="28"/>
              </w:rPr>
            </w:pPr>
            <w:r>
              <w:rPr>
                <w:caps/>
                <w:b/>
                <w:sz w:val="28"/>
                <w:szCs w:val="28"/>
              </w:rPr>
              <w:t xml:space="preserve">Министерство сельского хозяйства </w:t>
            </w:r>
          </w:p>
          <w:p>
            <w:pPr>
              <w:pStyle w:val="a6"/>
              <w:widowControl w:val="off"/>
              <w:suppressAutoHyphens/>
              <w:suppressAutoHyphens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и ПОТРЕБИТЕЛЬСКОГО РЫНКА РЕСПУБЛИКИ КОМИ</w:t>
            </w:r>
          </w:p>
        </w:tc>
      </w:tr>
    </w:tbl>
    <w:p>
      <w:pPr>
        <w:pStyle w:val="a6"/>
        <w:widowControl w:val="off"/>
        <w:suppressAutoHyphens/>
        <w:suppressAutoHyphens/>
        <w:rPr>
          <w:sz w:val="34"/>
          <w:szCs w:val="34"/>
        </w:rPr>
      </w:pPr>
    </w:p>
    <w:p>
      <w:pPr>
        <w:pStyle w:val="a6"/>
        <w:widowControl w:val="off"/>
        <w:suppressAutoHyphens/>
        <w:suppressAutoHyphens/>
        <w:rPr>
          <w:sz w:val="34"/>
          <w:szCs w:val="34"/>
        </w:rPr>
      </w:pPr>
    </w:p>
    <w:p>
      <w:pPr>
        <w:pStyle w:val="a6"/>
        <w:widowControl w:val="off"/>
        <w:suppressAutoHyphens/>
        <w:suppressAutoHyphens/>
        <w:rPr>
          <w:sz w:val="34"/>
          <w:szCs w:val="34"/>
        </w:rPr>
      </w:pPr>
      <w:r>
        <w:rPr>
          <w:sz w:val="34"/>
          <w:szCs w:val="34"/>
        </w:rPr>
        <w:t>ПРИКАЗ</w:t>
      </w:r>
    </w:p>
    <w:p>
      <w:pPr>
        <w:pStyle w:val="a6"/>
        <w:widowControl w:val="off"/>
        <w:suppressAutoHyphens/>
        <w:suppressAutoHyphens/>
        <w:rPr>
          <w:sz w:val="16"/>
          <w:szCs w:val="16"/>
        </w:rPr>
      </w:pPr>
    </w:p>
    <w:p>
      <w:pPr>
        <w:pStyle w:val="a6"/>
        <w:widowControl w:val="off"/>
        <w:suppressAutoHyphens/>
        <w:suppressAutoHyphens/>
        <w:rPr>
          <w:sz w:val="16"/>
          <w:szCs w:val="16"/>
        </w:rPr>
      </w:pPr>
    </w:p>
    <w:p>
      <w:pPr>
        <w:pStyle w:val="a6"/>
        <w:widowControl w:val="off"/>
        <w:suppressAutoHyphens/>
        <w:suppressAutoHyphens/>
        <w:spacing w:after="480" w:line="48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  <w:u w:val="single" w:color="auto"/>
        </w:rPr>
        <w:t>6</w:t>
      </w:r>
      <w:r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  <w:u w:val="single" w:color="auto"/>
        </w:rPr>
        <w:t>июля</w:t>
      </w:r>
      <w:r>
        <w:rPr>
          <w:b w:val="0"/>
          <w:sz w:val="28"/>
          <w:szCs w:val="28"/>
        </w:rPr>
        <w:t xml:space="preserve"> 2020 года                                                                                          № </w:t>
      </w:r>
      <w:r>
        <w:rPr>
          <w:b w:val="0"/>
          <w:sz w:val="28"/>
          <w:szCs w:val="28"/>
          <w:u w:val="single" w:color="auto"/>
        </w:rPr>
        <w:t>525</w:t>
      </w:r>
      <w:r>
        <w:rPr>
          <w:b w:val="0"/>
          <w:sz w:val="28"/>
          <w:szCs w:val="28"/>
        </w:rPr>
        <w:t xml:space="preserve">                                                     </w:t>
      </w:r>
    </w:p>
    <w:p>
      <w:pPr>
        <w:pStyle w:val="a6"/>
        <w:widowControl w:val="off"/>
        <w:suppressAutoHyphens/>
        <w:suppressAutoHyphens/>
        <w:spacing w:after="480" w:before="480" w:line="48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Сыктывкар</w:t>
      </w:r>
    </w:p>
    <w:p>
      <w:pPr>
        <w:pStyle w:val="a6"/>
        <w:widowControl w:val="off"/>
        <w:suppressAutoHyphens/>
        <w:suppressAutoHyphens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О проведении республиканского конкурса</w:t>
      </w:r>
    </w:p>
    <w:p>
      <w:pPr>
        <w:pStyle w:val="a6"/>
        <w:widowControl w:val="off"/>
        <w:suppressAutoHyphens/>
        <w:suppressAutoHyphens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«Лучшее личное подсобное хозяйство Республики Коми» в 2020 году</w:t>
      </w:r>
    </w:p>
    <w:p>
      <w:pPr>
        <w:pStyle w:val="a6"/>
        <w:widowControl w:val="off"/>
        <w:suppressAutoHyphens/>
        <w:suppressAutoHyphens/>
        <w:spacing w:line="228" w:lineRule="auto"/>
        <w:rPr>
          <w:b w:val="0"/>
          <w:sz w:val="48"/>
          <w:szCs w:val="48"/>
        </w:rPr>
      </w:pPr>
    </w:p>
    <w:p>
      <w:pPr>
        <w:pStyle w:val="a6"/>
        <w:widowControl w:val="off"/>
        <w:suppressAutoHyphens/>
        <w:jc w:val="both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 соответствии с Планом общереспубликанских мероприятий Республики Коми на 2019 год, утвержденным распоряжением Председателя Правительства Республики Коми от 20 декабря 2019 года № 36-рп,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 в целях поддержки деятельности личных подсобных хозяйств в Республике Коми, приказываю: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проведении республиканского конкурса «Лучшее личное подсобное хозяйство Республики Коми» в 2020 году согласно приложению № 1 к настоящему приказу.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республиканской конкурсной комиссии для определения победителей республиканского конкурса «Лучшее личное подсобное хозяйство Республики Коми» в 2020 году согласно приложению № 2 к настоящему приказу.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смету расходов на проведение республиканского конкурса «Лучшее личное подсобное хозяйство Республики Коми» в 2020 году согласно приложению № 3 к настоящему приказу.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Организационно-техническое обеспечение проведения республиканского конкурса «Лучшее личное подсобное хозяйство Республики Коми» в 2020 году возложить на отдел развития малых форм хозяйствования и кооперации      (Розанова И.Ю.) и ГУ РК «Центр господдержки АПК и рыбного хозяйства РК» (Колбасюк Н.П.).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ГУ РК «Центр господдержки АПК и рыбного хозяйства РК» (Колбасюк Н.П.) организовать первый этап республиканского конкурса «Лучшее личное подсобное хозяйство Республики Коми» в 2020 году в соответствии с Положением на соответствующих территориях муниципальных образований в Республике Коми, утвержденным настоящим приказом.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органам местного самоуправления в Республике Коми: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составы районных (городских) конкурсных комиссий;</w:t>
      </w:r>
    </w:p>
    <w:p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- установить сроки приема анкеты участника республиканского конкурса «Лучшее личное подсобное хозяйство Республики Коми» в 2020 году на соответствующих территориях.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</w:rPr>
        <w:t xml:space="preserve">  </w:t>
      </w:r>
      <w:r>
        <w:rPr>
          <w:sz w:val="28"/>
          <w:szCs w:val="28"/>
        </w:rPr>
        <w:t>ГУ РК «Центр господдержки АПК и рыбного хозяйства РК»                    (Колбасюк Н.П.) обеспечить перечисление средств на проведение республиканского конкурса «Лучшее личное подсобное хозяйство Республики Коми» в 2020 году за счет средств республиканского бюджета Республики Коми, предусмотренных по статье «Финансирование расходов по проведению мероприятий в соответствии с Планом общереспубликанских мероприятий Республики Коми на 2020 год, утвержденным распоряжением Председателя Правительства Республики Коми от 20 декабря 2019 года № 36-рп» согласно Смете расходов на проведение республиканского конкурса «Лучшее личное подсобное хозяйство Республики Коми» в 2020 году, определенной приложением № 3 к настоящему приказу.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Настоящий приказ вступает в силу со дня его подписания.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Контроль за исполнением настоящего приказа возложить на заместителя министра сельского хозяйства и потребительского рынка Республики Коми                       О.В. Бабину.</w:t>
      </w:r>
    </w:p>
    <w:p>
      <w:pPr>
        <w:ind w:firstLine="900"/>
        <w:spacing w:line="228" w:lineRule="auto"/>
        <w:rPr>
          <w:sz w:val="64"/>
          <w:szCs w:val="64"/>
        </w:rPr>
      </w:pPr>
    </w:p>
    <w:p>
      <w:pPr>
        <w:jc w:val="both"/>
        <w:rPr>
          <w:sz w:val="28"/>
          <w:szCs w:val="27"/>
        </w:rPr>
      </w:pPr>
      <w:r>
        <w:rPr>
          <w:sz w:val="28"/>
          <w:szCs w:val="27"/>
        </w:rPr>
        <w:t>Заместитель Председателя Правительства</w:t>
      </w:r>
    </w:p>
    <w:p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Республики Коми – министр сельского </w:t>
      </w:r>
    </w:p>
    <w:p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хозяйства и потребительского рынка </w:t>
      </w:r>
    </w:p>
    <w:p>
      <w:pPr>
        <w:jc w:val="both"/>
        <w:rPr>
          <w:sz w:val="28"/>
          <w:szCs w:val="27"/>
        </w:rPr>
      </w:pPr>
      <w:r>
        <w:rPr>
          <w:sz w:val="28"/>
          <w:szCs w:val="27"/>
        </w:rPr>
        <w:t>Республики Коми                                                                                            А.П. Князев</w:t>
      </w:r>
    </w:p>
    <w:p/>
    <w:p/>
    <w:p>
      <w:pPr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</w:rPr>
      </w:pPr>
    </w:p>
    <w:p>
      <w:pPr>
        <w:ind w:firstLine="708"/>
        <w:jc w:val="both"/>
        <w:rPr>
          <w:sz w:val="28"/>
        </w:rPr>
      </w:pPr>
    </w:p>
    <w:p>
      <w:pPr>
        <w:ind w:firstLine="708"/>
        <w:jc w:val="both"/>
        <w:rPr>
          <w:sz w:val="28"/>
        </w:rPr>
      </w:pPr>
    </w:p>
    <w:p>
      <w:pPr>
        <w:ind w:firstLine="708"/>
        <w:jc w:val="both"/>
        <w:rPr>
          <w:sz w:val="28"/>
        </w:rPr>
      </w:pPr>
    </w:p>
    <w:p>
      <w:pPr>
        <w:ind w:firstLine="708"/>
        <w:jc w:val="both"/>
        <w:rPr>
          <w:sz w:val="28"/>
        </w:rPr>
      </w:pPr>
    </w:p>
    <w:p>
      <w:pPr>
        <w:ind w:firstLine="708"/>
        <w:jc w:val="both"/>
        <w:rPr>
          <w:sz w:val="28"/>
        </w:rPr>
      </w:pPr>
    </w:p>
    <w:p>
      <w:pPr>
        <w:ind w:firstLine="708"/>
        <w:jc w:val="both"/>
        <w:rPr>
          <w:sz w:val="28"/>
        </w:rPr>
      </w:pPr>
    </w:p>
    <w:p>
      <w:pPr>
        <w:ind w:firstLine="708"/>
        <w:jc w:val="both"/>
        <w:rPr>
          <w:sz w:val="28"/>
        </w:rPr>
      </w:pPr>
    </w:p>
    <w:p>
      <w:pPr>
        <w:ind w:firstLine="708"/>
        <w:jc w:val="both"/>
        <w:rPr>
          <w:sz w:val="28"/>
        </w:rPr>
      </w:pPr>
    </w:p>
    <w:p>
      <w:pPr>
        <w:ind w:firstLine="708"/>
        <w:jc w:val="both"/>
        <w:rPr>
          <w:sz w:val="28"/>
        </w:rPr>
      </w:pPr>
    </w:p>
    <w:p>
      <w:pPr>
        <w:ind w:firstLine="708"/>
        <w:jc w:val="both"/>
        <w:rPr>
          <w:sz w:val="28"/>
        </w:rPr>
      </w:pPr>
    </w:p>
    <w:p>
      <w:pPr>
        <w:ind w:firstLine="708"/>
        <w:jc w:val="both"/>
        <w:rPr>
          <w:sz w:val="28"/>
        </w:rPr>
      </w:pPr>
    </w:p>
    <w:p>
      <w:pPr>
        <w:ind w:firstLine="708"/>
        <w:jc w:val="both"/>
        <w:rPr>
          <w:sz w:val="28"/>
        </w:rPr>
      </w:pPr>
    </w:p>
    <w:tbl>
      <w:tblPr>
        <w:tblW w:w="0" w:type="auto"/>
        <w:tblInd w:w="165" w:type="dxa"/>
        <w:tblLook w:val="01E0" w:firstRow="1" w:lastRow="1" w:firstColumn="1" w:lastColumn="1" w:noHBand="0" w:noVBand="0"/>
      </w:tblPr>
      <w:tblGrid>
        <w:gridCol w:w="3771"/>
        <w:gridCol w:w="5918"/>
      </w:tblGrid>
      <w:tr>
        <w:tc>
          <w:tcPr>
            <w:tcW w:w="3771" w:type="dxa"/>
          </w:tcPr>
          <w:p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>
            <w:pPr>
              <w:jc w:val="right"/>
              <w:rPr>
                <w:sz w:val="28"/>
                <w:szCs w:val="28"/>
              </w:rPr>
            </w:pP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>
            <w:pPr>
              <w:pStyle w:val="ConsPlusNonformat"/>
              <w:suppressAutoHyphens/>
              <w:jc w:val="righ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сельского хозяйства</w:t>
            </w:r>
          </w:p>
          <w:p>
            <w:pPr>
              <w:pStyle w:val="ConsPlusNonformat"/>
              <w:suppressAutoHyphens/>
              <w:jc w:val="righ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потребительского рынка Республики Коми</w:t>
            </w:r>
          </w:p>
          <w:p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  <w:u w:val="single" w:color="auto"/>
              </w:rPr>
              <w:t>6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 w:color="auto"/>
              </w:rPr>
              <w:t>июля</w:t>
            </w:r>
            <w:r>
              <w:rPr>
                <w:sz w:val="28"/>
                <w:szCs w:val="28"/>
              </w:rPr>
              <w:t xml:space="preserve"> 2020 г. № </w:t>
            </w:r>
            <w:r>
              <w:rPr>
                <w:sz w:val="28"/>
                <w:szCs w:val="28"/>
                <w:u w:val="single" w:color="auto"/>
              </w:rPr>
              <w:t>525</w:t>
            </w:r>
            <w:r>
              <w:rPr>
                <w:sz w:val="28"/>
                <w:szCs w:val="28"/>
              </w:rPr>
              <w:t xml:space="preserve">                                                      (приложение № 1)</w:t>
            </w:r>
          </w:p>
        </w:tc>
      </w:tr>
    </w:tbl>
    <w:p>
      <w:pPr>
        <w:jc w:val="center"/>
        <w:rPr>
          <w:b/>
          <w:sz w:val="24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проведении республиканского конкурса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«Лучшее личное подсобное хозяйство Республики Коми» в 2020 году.</w:t>
      </w:r>
    </w:p>
    <w:p>
      <w:pPr>
        <w:ind w:firstLineChars="225" w:firstLine="900"/>
        <w:rPr>
          <w:sz w:val="40"/>
          <w:szCs w:val="40"/>
        </w:rPr>
      </w:pPr>
    </w:p>
    <w:p>
      <w:pPr>
        <w:jc w:val="center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>
      <w:pPr>
        <w:ind w:left="1080"/>
        <w:rPr>
          <w:b/>
          <w:sz w:val="26"/>
          <w:szCs w:val="26"/>
        </w:rPr>
      </w:pPr>
    </w:p>
    <w:p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Республиканский конкурс «Лучшее личное подсобное хозяйство Республики Коми» в 2020 году (далее - Конкурс) проводится Министерством сельского хозяйства и потребительского рынка Республики Коми (далее – Министерство) при участии органов местного самоуправления в Республике Коми.</w:t>
      </w:r>
    </w:p>
    <w:p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 Конкурс проводится в рамках реализации Государственной программы Республики Коми «Развитие сельского хозяйства и регулирование рынков сельскохозяйственной продукции, сырья и продовольствия, развитие рыбохозяйственного комплекса в Республике Коми».</w:t>
      </w:r>
    </w:p>
    <w:p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Настоящее Положение определяет цели, задачи, условия, сроки, порядок проведения и подведения итогов Конкурса.</w:t>
      </w:r>
    </w:p>
    <w:p>
      <w:pPr>
        <w:adjustRightInd/>
        <w:ind w:firstLine="540"/>
        <w:autoSpaceDE w:val="off"/>
        <w:autoSpaceDN w:val="off"/>
        <w:widowControl w:val="off"/>
        <w:jc w:val="both"/>
        <w:rPr>
          <w:sz w:val="28"/>
          <w:szCs w:val="28"/>
        </w:rPr>
      </w:pPr>
    </w:p>
    <w:p>
      <w:pPr>
        <w:adjustRightInd/>
        <w:autoSpaceDE w:val="off"/>
        <w:autoSpaceDN w:val="off"/>
        <w:widowControl w:val="off"/>
        <w:outlineLvl w:val="1"/>
        <w:jc w:val="center"/>
        <w:rPr>
          <w:b/>
          <w:sz w:val="28"/>
          <w:szCs w:val="28"/>
        </w:rPr>
      </w:pPr>
      <w:r>
        <w:rPr>
          <w:lang w:val="en-US"/>
          <w:b/>
          <w:sz w:val="28"/>
          <w:szCs w:val="28"/>
        </w:rPr>
        <w:t>II</w:t>
      </w:r>
      <w:r>
        <w:rPr>
          <w:b/>
          <w:sz w:val="28"/>
          <w:szCs w:val="28"/>
        </w:rPr>
        <w:t>. Цель и задачи Конкурса</w:t>
      </w:r>
    </w:p>
    <w:p>
      <w:pPr>
        <w:adjustRightInd/>
        <w:ind w:firstLine="540"/>
        <w:autoSpaceDE w:val="off"/>
        <w:autoSpaceDN w:val="off"/>
        <w:widowControl w:val="off"/>
        <w:jc w:val="both"/>
        <w:rPr>
          <w:sz w:val="26"/>
          <w:szCs w:val="26"/>
        </w:rPr>
      </w:pPr>
    </w:p>
    <w:p>
      <w:pPr>
        <w:adjustRightInd/>
        <w:ind w:firstLine="540"/>
        <w:autoSpaceDE w:val="off"/>
        <w:autoSpaceDN w:val="off"/>
        <w:widowControl w:val="off"/>
        <w:jc w:val="both"/>
        <w:rPr>
          <w:sz w:val="28"/>
          <w:szCs w:val="28"/>
        </w:rPr>
      </w:pPr>
      <w:r>
        <w:rPr>
          <w:sz w:val="28"/>
          <w:szCs w:val="28"/>
        </w:rPr>
        <w:t>2.1. Целью Конкурса является оказание содействия поддержки деятельности граждан, осуществляющих ведение личного подсобного хозяйства, повышения статуса и роли личных подсобных хозяйств в аграрном секторе экономики республики.</w:t>
      </w:r>
    </w:p>
    <w:p>
      <w:pPr>
        <w:adjustRightInd/>
        <w:ind w:firstLine="540"/>
        <w:autoSpaceDE w:val="off"/>
        <w:autoSpaceDN w:val="off"/>
        <w:widowControl w:val="off"/>
        <w:jc w:val="both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>
      <w:pPr>
        <w:adjustRightInd/>
        <w:ind w:firstLine="540"/>
        <w:autoSpaceDE w:val="off"/>
        <w:autoSpaceDN w:val="off"/>
        <w:widowControl w:val="off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населения в процесс самореализации и занятости в аграрном секторе, содействие развитию малого сельскохозяйственного бизнеса на территории Республики Коми;</w:t>
      </w:r>
    </w:p>
    <w:p>
      <w:pPr>
        <w:adjustRightInd/>
        <w:ind w:firstLine="540"/>
        <w:autoSpaceDE w:val="off"/>
        <w:autoSpaceDN w:val="off"/>
        <w:widowControl w:val="off"/>
        <w:jc w:val="both"/>
        <w:rPr>
          <w:sz w:val="28"/>
          <w:szCs w:val="28"/>
        </w:rPr>
      </w:pPr>
      <w:r>
        <w:rPr>
          <w:sz w:val="28"/>
          <w:szCs w:val="28"/>
        </w:rPr>
        <w:t>-  распространение опыта эффективного ведения личного подсобного хозяйства, рационального использования земли, умелого применения новых технологий, а также вложения кредитных средств;</w:t>
      </w:r>
    </w:p>
    <w:p>
      <w:pPr>
        <w:adjustRightInd/>
        <w:ind w:firstLine="540"/>
        <w:autoSpaceDE w:val="off"/>
        <w:autoSpaceDN w:val="off"/>
        <w:widowControl w:val="off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внимания органов исполнительной власти всех уровней к проблемам развития личных подсобных хозяйств жителей сельских территорий Республики Коми;</w:t>
      </w:r>
    </w:p>
    <w:p>
      <w:pPr>
        <w:adjustRightInd/>
        <w:ind w:firstLine="540"/>
        <w:autoSpaceDE w:val="off"/>
        <w:autoSpaceDN w:val="off"/>
        <w:widowControl w:val="off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лучших личных подсобных хозяйств граждан на территории Республики Коми.</w:t>
      </w:r>
    </w:p>
    <w:p>
      <w:pPr>
        <w:adjustRightInd/>
        <w:autoSpaceDE w:val="off"/>
        <w:autoSpaceDN w:val="off"/>
        <w:widowControl w:val="off"/>
        <w:outlineLvl w:val="1"/>
        <w:jc w:val="center"/>
        <w:rPr>
          <w:b/>
          <w:sz w:val="28"/>
          <w:szCs w:val="28"/>
        </w:rPr>
      </w:pPr>
    </w:p>
    <w:p>
      <w:pPr>
        <w:adjustRightInd/>
        <w:autoSpaceDE w:val="off"/>
        <w:autoSpaceDN w:val="off"/>
        <w:widowControl w:val="off"/>
        <w:outlineLvl w:val="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lang w:val="en-US"/>
          <w:b/>
          <w:sz w:val="28"/>
          <w:szCs w:val="28"/>
        </w:rPr>
        <w:t>III</w:t>
      </w:r>
      <w:r>
        <w:rPr>
          <w:b/>
          <w:sz w:val="28"/>
          <w:szCs w:val="28"/>
        </w:rPr>
        <w:t>. Условия, сроки и порядок проведения Конкурса</w:t>
      </w:r>
    </w:p>
    <w:p>
      <w:pPr>
        <w:adjustRightInd/>
        <w:ind w:firstLine="540"/>
        <w:autoSpaceDE w:val="off"/>
        <w:autoSpaceDN w:val="off"/>
        <w:widowControl w:val="off"/>
        <w:jc w:val="both"/>
        <w:rPr>
          <w:sz w:val="25"/>
          <w:szCs w:val="25"/>
        </w:rPr>
      </w:pPr>
    </w:p>
    <w:p>
      <w:pPr>
        <w:adjustRightInd/>
        <w:ind w:firstLine="540"/>
        <w:autoSpaceDE w:val="off"/>
        <w:autoSpaceDN w:val="off"/>
        <w:widowControl w:val="off"/>
        <w:jc w:val="both"/>
        <w:rPr>
          <w:sz w:val="28"/>
          <w:szCs w:val="28"/>
        </w:rPr>
      </w:pPr>
      <w:r>
        <w:rPr>
          <w:sz w:val="28"/>
          <w:szCs w:val="28"/>
        </w:rPr>
        <w:t>3.1. Конкурс является открытым. К участию в Конкурсе допускаются граждане, ведущие личное подсобное хозяйство на территории Республики Коми в соответствии с Федеральным законом от 07.07.2003 № 112-ФЗ «О личном подсобном хозяйстве».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Конкурс проводится в два этапа. 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этапе – </w:t>
      </w:r>
      <w:r>
        <w:rPr>
          <w:b/>
          <w:sz w:val="28"/>
          <w:szCs w:val="28"/>
        </w:rPr>
        <w:t>с 20 июля по 6 сентября 2020 года</w:t>
      </w:r>
      <w:r>
        <w:rPr>
          <w:sz w:val="28"/>
          <w:szCs w:val="28"/>
        </w:rPr>
        <w:t xml:space="preserve"> - проводится оценка и отбор участников Конкурса на территориях муниципальных образований для последующего включения их в число участников второго этапа.  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втором этапе – </w:t>
      </w:r>
      <w:r>
        <w:rPr>
          <w:b/>
          <w:sz w:val="28"/>
          <w:szCs w:val="28"/>
        </w:rPr>
        <w:t>с 7 сентября по 30 сентября 2020 года</w:t>
      </w:r>
      <w:r>
        <w:rPr>
          <w:sz w:val="28"/>
          <w:szCs w:val="28"/>
        </w:rPr>
        <w:t xml:space="preserve"> - проводится оценка участников второго этапа для определения победителей Конкурса.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Для организации и проведения первого этапа создаются районные (городские) конкурсные комиссии, в состав которых включаются представители органов местного самоуправления (по согласованию).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второго этапа Конкурса осуществляется республиканской конкурсной комиссией.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Деятельность республиканской конкурсной комиссии и районных (городских) конкурсных комиссий осуществляется в форме заседаний, которые проводит председатель комиссии (в его отсутствие - заместитель председателя). 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Решения районных (городских) конкурсных комиссий и республиканской конкурсной комиссии принимаются простым большинством голосов от числа участвующих в заседании с учетом набранных баллов в каждой установленной номинации. При возникновении спорных вопросов и равенстве голосов право решающего голоса принадлежит председателю соответствующей конкурсной комиссии. Решения комиссий оформляются протоколами.</w:t>
      </w:r>
    </w:p>
    <w:p>
      <w:pPr>
        <w:ind w:firstLineChars="225" w:firstLine="630"/>
        <w:jc w:val="both"/>
        <w:rPr>
          <w:sz w:val="28"/>
          <w:szCs w:val="28"/>
        </w:rPr>
      </w:pPr>
      <w:r>
        <w:rPr>
          <w:sz w:val="28"/>
          <w:szCs w:val="28"/>
        </w:rPr>
        <w:t>3.6. Для участия в первом этапе Конкурса граждане, ведущие личное подсобное хозяйство (далее – участники), представляют в районные (межрайонные) отделы сельского хозяйства ГУ РК «Центр господдержки АПК и рыбного хозяйства РК»:</w:t>
      </w:r>
    </w:p>
    <w:p>
      <w:pPr>
        <w:ind w:firstLineChars="225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анкету участника конкурса «Лучшее личное подсобное хозяйство Республики Коми» в 2020 году (далее – анкета) по форме согласно приложению 1 к настоящему Положению, согласованную с органами местного самоуправления с приложением следующего пакета документов: </w:t>
      </w:r>
    </w:p>
    <w:p>
      <w:pPr>
        <w:ind w:firstLineChars="225" w:firstLine="630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характеристику хозяйства (в произвольной форме) с фотографиями (презентацией);</w:t>
      </w:r>
    </w:p>
    <w:p>
      <w:pPr>
        <w:ind w:firstLineChars="225" w:firstLine="630"/>
        <w:jc w:val="both"/>
        <w:rPr>
          <w:sz w:val="28"/>
          <w:szCs w:val="28"/>
        </w:rPr>
      </w:pPr>
      <w:r>
        <w:rPr>
          <w:sz w:val="28"/>
          <w:szCs w:val="28"/>
        </w:rPr>
        <w:t>- выписку из похозяйственной книги, полученную в текущем году;</w:t>
      </w:r>
    </w:p>
    <w:p>
      <w:pPr>
        <w:ind w:firstLineChars="225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документа, подтверждающего наличие земельного участка для ведения личного подсобного хозяйства, зарегистрированного и оформленного в установленном законом порядке; </w:t>
      </w:r>
    </w:p>
    <w:p>
      <w:pPr>
        <w:ind w:firstLineChars="225" w:firstLine="630"/>
        <w:jc w:val="both"/>
        <w:rPr>
          <w:sz w:val="28"/>
          <w:szCs w:val="28"/>
        </w:rPr>
      </w:pPr>
      <w:r>
        <w:rPr>
          <w:sz w:val="28"/>
          <w:szCs w:val="28"/>
        </w:rPr>
        <w:t>- в случае применения искусственного осеменения справку от организации, осуществившей искусственное осеменение коров (нетелей), принадлежащих личному подсобному хозяйству (для участников конкурса в номинации «Лучшее ЛПХ по производству молока», «Лучшее ЛПХ «Молодая семья»).</w:t>
      </w:r>
    </w:p>
    <w:p>
      <w:pPr>
        <w:ind w:firstLineChars="225" w:firstLine="630"/>
        <w:jc w:val="both"/>
        <w:rPr>
          <w:sz w:val="28"/>
          <w:szCs w:val="28"/>
        </w:rPr>
      </w:pPr>
      <w:r>
        <w:rPr>
          <w:sz w:val="28"/>
          <w:szCs w:val="28"/>
        </w:rPr>
        <w:t>3.7. Районные (межрайонные) отделы сельского хозяйства ГУ РК «Центр господдержки АПК и рыбного хозяйства РК» осуществляют проверку документов, указанных в пункте 3.6 настоящего Положения на предмет комплектности, и направляют их на рассмотрение в районные (городские) конкурсные комиссии.</w:t>
      </w:r>
    </w:p>
    <w:p>
      <w:pPr>
        <w:ind w:firstLineChars="225" w:firstLine="630"/>
        <w:jc w:val="both"/>
        <w:rPr>
          <w:sz w:val="28"/>
          <w:szCs w:val="28"/>
        </w:rPr>
      </w:pPr>
      <w:r>
        <w:rPr>
          <w:sz w:val="28"/>
          <w:szCs w:val="28"/>
        </w:rPr>
        <w:t>3.8. Районные (городские) конкурсные комиссии на основании представленных документов и в соответствии с Методикой о</w:t>
      </w:r>
      <w:r>
        <w:rPr>
          <w:bCs/>
          <w:sz w:val="28"/>
          <w:szCs w:val="28"/>
        </w:rPr>
        <w:t>пределения победителей республиканского конкурса «Лучшее личное подсобное хозяйство Республики Коми» в 2020 году, утвержденной п</w:t>
      </w:r>
      <w:r>
        <w:rPr>
          <w:sz w:val="28"/>
          <w:szCs w:val="28"/>
        </w:rPr>
        <w:t>риложением 2 к настоящему Положению (далее - Методика), о</w:t>
      </w:r>
      <w:r>
        <w:rPr>
          <w:bCs/>
          <w:sz w:val="28"/>
          <w:szCs w:val="28"/>
        </w:rPr>
        <w:t xml:space="preserve">пределяют на </w:t>
      </w:r>
      <w:r>
        <w:rPr>
          <w:sz w:val="28"/>
          <w:szCs w:val="28"/>
        </w:rPr>
        <w:t>территории муниципального образования</w:t>
      </w:r>
      <w:r>
        <w:rPr>
          <w:bCs/>
          <w:sz w:val="28"/>
          <w:szCs w:val="28"/>
        </w:rPr>
        <w:t xml:space="preserve"> лучшие личные подсобные хозяйства </w:t>
      </w:r>
      <w:r>
        <w:rPr>
          <w:sz w:val="28"/>
          <w:szCs w:val="28"/>
        </w:rPr>
        <w:t xml:space="preserve">в каждой установленной номинации согласно пункту 4.2 настоящего Положения для </w:t>
      </w:r>
      <w:r>
        <w:rPr>
          <w:bCs/>
          <w:sz w:val="28"/>
          <w:szCs w:val="28"/>
        </w:rPr>
        <w:t>участия во втором этапе республиканского Конкурса</w:t>
      </w:r>
      <w:r>
        <w:rPr>
          <w:sz w:val="28"/>
          <w:szCs w:val="28"/>
        </w:rPr>
        <w:t>.</w:t>
      </w:r>
    </w:p>
    <w:p>
      <w:pPr>
        <w:ind w:firstLineChars="225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Районные (межрайонные) отделы сельского хозяйства ГУ РК «Центр господдержки АПК и рыбного хозяйства РК» представляют </w:t>
      </w:r>
      <w:r>
        <w:rPr>
          <w:b/>
          <w:sz w:val="28"/>
          <w:szCs w:val="28"/>
        </w:rPr>
        <w:t>до 6 сентября 2020 года</w:t>
      </w:r>
      <w:r>
        <w:rPr>
          <w:sz w:val="28"/>
          <w:szCs w:val="28"/>
        </w:rPr>
        <w:t xml:space="preserve"> в Министерство:</w:t>
      </w:r>
    </w:p>
    <w:p>
      <w:pPr>
        <w:ind w:firstLineChars="225" w:firstLine="630"/>
        <w:jc w:val="both"/>
        <w:rPr>
          <w:sz w:val="28"/>
          <w:szCs w:val="28"/>
        </w:rPr>
      </w:pPr>
      <w:r>
        <w:rPr>
          <w:sz w:val="28"/>
          <w:szCs w:val="28"/>
        </w:rPr>
        <w:t>- копии протоколов заседаний районных (городских) конкурсных комиссий;</w:t>
      </w:r>
    </w:p>
    <w:p>
      <w:pPr>
        <w:ind w:firstLineChars="225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анкеты участников второго этапа с расчетами показателей согласно Методике с приложением документов, установленных пунктом 3.6 настоящего Положения. </w:t>
      </w:r>
    </w:p>
    <w:p>
      <w:pPr>
        <w:ind w:firstLineChars="225" w:firstLine="63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предоставляется на бумажном носителе и в электронном виде.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В Конкурсе не принимают участие личные подсобные хозяйства, признанные победителями Конкурса за 3 предыдущих года, а также личные подсобные хозяйства, которые ранее осуществляли предпринимательскую деятельность в качестве главы крестьянского (фермерского) хозяйства в течение последних 3 лет.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 Участник Конкурса имеет право подать заявку не более чем по двум установленным номинациям.</w:t>
      </w:r>
    </w:p>
    <w:p>
      <w:pPr>
        <w:ind w:firstLineChars="253" w:firstLine="708"/>
        <w:jc w:val="both"/>
        <w:rPr>
          <w:color w:val="FF0000"/>
          <w:sz w:val="28"/>
          <w:szCs w:val="28"/>
        </w:rPr>
      </w:pPr>
    </w:p>
    <w:p>
      <w:pPr>
        <w:ind w:firstLine="540"/>
        <w:jc w:val="center"/>
        <w:rPr>
          <w:b/>
          <w:sz w:val="28"/>
          <w:szCs w:val="28"/>
        </w:rPr>
      </w:pPr>
      <w:r>
        <w:rPr>
          <w:lang w:val="en-US"/>
          <w:b/>
          <w:sz w:val="28"/>
          <w:szCs w:val="28"/>
        </w:rPr>
        <w:t>IV</w:t>
      </w:r>
      <w:r>
        <w:rPr>
          <w:b/>
          <w:sz w:val="28"/>
          <w:szCs w:val="28"/>
        </w:rPr>
        <w:t>. Подведение итогов Конкурса</w:t>
      </w:r>
    </w:p>
    <w:p>
      <w:pPr>
        <w:ind w:firstLine="540"/>
        <w:jc w:val="both"/>
        <w:rPr>
          <w:sz w:val="25"/>
          <w:szCs w:val="25"/>
        </w:rPr>
      </w:pPr>
    </w:p>
    <w:p>
      <w:pPr>
        <w:adjustRightInd/>
        <w:ind w:firstLine="567"/>
        <w:autoSpaceDE w:val="off"/>
        <w:autoSpaceDN w:val="off"/>
        <w:widowControl w:val="o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Подведение итогов Конкурса осуществляет республиканская конкурсная комиссия в срок </w:t>
      </w:r>
      <w:r>
        <w:rPr>
          <w:b/>
          <w:sz w:val="28"/>
          <w:szCs w:val="28"/>
        </w:rPr>
        <w:t>до 30 сентября 2020 года</w:t>
      </w:r>
      <w:r>
        <w:rPr>
          <w:sz w:val="28"/>
          <w:szCs w:val="28"/>
        </w:rPr>
        <w:t>.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Республиканская конкурсная комиссия на основании документов, представленных районными (межрайонными) отделами сельского хозяйства ГУ РК «Центр господдержки АПК и рыбного хозяйства РК», и в соответствии с Методикой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осуществляет оценку участников второго этапа и определяет победителей Конкурса в каждой установленной номинации:</w:t>
      </w:r>
    </w:p>
    <w:p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«Лучшее ЛПХ по производству молока»;</w:t>
      </w:r>
    </w:p>
    <w:p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«Лучшее ЛПХ по производству мяса»;</w:t>
      </w:r>
    </w:p>
    <w:p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«Лучшее пчеловодческое ЛПХ»;</w:t>
      </w:r>
    </w:p>
    <w:p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«Лучшее ЛПХ по </w:t>
      </w:r>
      <w:r>
        <w:rPr>
          <w:b/>
          <w:sz w:val="27"/>
          <w:szCs w:val="27"/>
        </w:rPr>
        <w:t>производству продукции растениеводства</w:t>
      </w:r>
      <w:r>
        <w:rPr>
          <w:b/>
          <w:sz w:val="28"/>
          <w:szCs w:val="28"/>
        </w:rPr>
        <w:t>»;</w:t>
      </w:r>
    </w:p>
    <w:p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«Лучшее ЛПХ «Молодая семья». </w:t>
      </w:r>
      <w:r>
        <w:rPr>
          <w:sz w:val="28"/>
          <w:szCs w:val="28"/>
        </w:rPr>
        <w:t>Определяется лучшее личное подсобное хозяйство среди семей, возраст одного из супругов которых до 35 лет</w:t>
      </w:r>
      <w:r>
        <w:rPr>
          <w:b/>
          <w:sz w:val="28"/>
          <w:szCs w:val="28"/>
        </w:rPr>
        <w:t>;</w:t>
      </w:r>
    </w:p>
    <w:p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«Самое оригинальное подворье».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Участники, занявшие первое, второе и третье места в каждой установленной номинации признаются победителями Конкурса по соответствующей номинации. Количество мест по каждой номинации определяет республиканская конкурсная комиссия.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Победители Конкурса награждаются дипломами Министерства и подарочными картами (сертификатами).</w:t>
      </w:r>
    </w:p>
    <w:p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4.5. Номинальную стоимость сертификатов по каждой установленной номинации определяет республиканская конкурсная комиссия.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Награждение победителей Конкурса проводится на мероприятиях, посвященных Дню работника сельского хозяйства и перерабатывающей промышленности. </w:t>
      </w:r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Участникам, не признанными победителями Конкурса, вручаются благодарственные письма Министерства.</w:t>
      </w:r>
    </w:p>
    <w:p>
      <w:pPr>
        <w:adjustRightInd/>
        <w:ind w:firstLine="540"/>
        <w:autoSpaceDE w:val="off"/>
        <w:autoSpaceDN w:val="off"/>
        <w:widowControl w:val="off"/>
        <w:jc w:val="both"/>
        <w:rPr>
          <w:sz w:val="28"/>
          <w:szCs w:val="28"/>
        </w:rPr>
      </w:pPr>
      <w:r>
        <w:rPr>
          <w:sz w:val="28"/>
          <w:szCs w:val="28"/>
        </w:rPr>
        <w:t>4.8. Информация о сроках и итогах проведения Конкурса размещается на официальном сайте Министерства в информационно-телекоммуникационной сети Интернет.</w:t>
      </w: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ind w:firstLine="540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219"/>
        <w:gridCol w:w="5954"/>
      </w:tblGrid>
      <w:tr>
        <w:trPr>
          <w:trHeight w:val="1276" w:hRule="atLeast"/>
        </w:trPr>
        <w:tc>
          <w:tcPr>
            <w:tcW w:w="4219" w:type="dxa"/>
            <w:shd w:val="clear" w:color="auto" w:fill="auto"/>
          </w:tcPr>
          <w:p>
            <w:pPr>
              <w:jc w:val="center"/>
              <w:rPr>
                <w:b/>
                <w:szCs w:val="28"/>
              </w:rPr>
            </w:pPr>
          </w:p>
          <w:p>
            <w:pPr>
              <w:jc w:val="center"/>
              <w:rPr>
                <w:b/>
                <w:szCs w:val="28"/>
              </w:rPr>
            </w:pPr>
          </w:p>
          <w:p>
            <w:pPr>
              <w:jc w:val="center"/>
              <w:rPr>
                <w:b/>
                <w:szCs w:val="28"/>
              </w:rPr>
            </w:pPr>
          </w:p>
          <w:p>
            <w:pPr>
              <w:jc w:val="center"/>
              <w:rPr>
                <w:b/>
                <w:szCs w:val="28"/>
              </w:rPr>
            </w:pPr>
          </w:p>
          <w:p>
            <w:pPr>
              <w:jc w:val="center"/>
              <w:rPr>
                <w:b/>
                <w:szCs w:val="28"/>
              </w:rPr>
            </w:pPr>
          </w:p>
          <w:p>
            <w:pPr>
              <w:jc w:val="center"/>
              <w:rPr>
                <w:b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Положению о проведении республиканского конкурса «Лучшее личное подсобное хозяйство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Республики Коми» в 2020 году </w:t>
            </w:r>
          </w:p>
          <w:p>
            <w:pPr>
              <w:jc w:val="right"/>
              <w:rPr>
                <w:szCs w:val="28"/>
              </w:rPr>
            </w:pPr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участника республиканского конкурса</w:t>
      </w:r>
    </w:p>
    <w:p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«Лучшее личное подсобное хозяйство Республики Коми» в 2020 году</w:t>
      </w: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sz w:val="26"/>
          <w:szCs w:val="26"/>
        </w:rPr>
      </w:pPr>
      <w:r>
        <w:rPr>
          <w:b/>
          <w:sz w:val="24"/>
          <w:szCs w:val="24"/>
        </w:rPr>
        <w:t>Номинация</w:t>
      </w:r>
      <w:r>
        <w:rPr>
          <w:sz w:val="24"/>
          <w:szCs w:val="24"/>
        </w:rPr>
        <w:t xml:space="preserve">  </w:t>
      </w:r>
      <w:r>
        <w:rPr>
          <w:sz w:val="26"/>
          <w:szCs w:val="26"/>
        </w:rPr>
        <w:t xml:space="preserve">    _______________________________________________________</w:t>
      </w:r>
    </w:p>
    <w:p>
      <w:pPr>
        <w:jc w:val="center"/>
        <w:rPr>
          <w:b/>
          <w:sz w:val="28"/>
          <w:szCs w:val="28"/>
        </w:rPr>
      </w:pPr>
    </w:p>
    <w:p>
      <w:pPr>
        <w:rPr>
          <w:szCs w:val="28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Ф.И.О. гражданина, ведущего личное подсобное хозяйство, полных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rFonts w:ascii="Calibri" w:eastAsia="Calibri" w:hAnsi="Calibri"/>
                <w:sz w:val="22"/>
                <w:szCs w:val="28"/>
              </w:rPr>
            </w:pPr>
            <w:r>
              <w:rPr>
                <w:rFonts w:ascii="Calibri" w:eastAsia="Calibri" w:hAnsi="Calibri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658240" allowOverlap="1" hidden="0">
                      <wp:simplePos x="0" y="0"/>
                      <wp:positionH relativeFrom="column">
                        <wp:posOffset>6127115</wp:posOffset>
                      </wp:positionH>
                      <wp:positionV relativeFrom="paragraph">
                        <wp:posOffset>635</wp:posOffset>
                      </wp:positionV>
                      <wp:extent cx="402590" cy="315595"/>
                      <wp:effectExtent l="4762" t="4762" r="4762" b="4762"/>
                      <wp:wrapNone/>
                      <wp:docPr id="1026" name="shape102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2590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6" style="position:absolute;margin-left:482,45pt;margin-top:0,05pt;width:31,7pt;height:24,85pt;mso-wrap-style:infront;mso-position-horizontal-relative:column;mso-position-vertical-relative:line;v-text-anchor:top;z-index:251658240" o:allowincell="t" filled="t" fillcolor="#ffffff" stroked="t" strokecolor="#0" strokeweight="0,75pt">
                      <v:stroke/>
                    </v:rect>
                  </w:pict>
                </mc:Fallback>
              </mc:AlternateContent>
            </w:r>
          </w:p>
          <w:p>
            <w:pPr>
              <w:rPr>
                <w:rFonts w:ascii="Calibri" w:eastAsia="Calibri" w:hAnsi="Calibri"/>
                <w:sz w:val="22"/>
                <w:szCs w:val="28"/>
              </w:rPr>
            </w:pPr>
          </w:p>
        </w:tc>
      </w:tr>
    </w:tbl>
    <w:p>
      <w:pPr>
        <w:ind w:left="9204"/>
        <w:jc w:val="center"/>
        <w:rPr>
          <w:szCs w:val="28"/>
        </w:rPr>
      </w:pPr>
      <w:r>
        <w:rPr>
          <w:szCs w:val="28"/>
        </w:rPr>
        <w:t xml:space="preserve">           лет</w:t>
      </w:r>
    </w:p>
    <w:p>
      <w:pPr>
        <w:ind w:left="9204"/>
        <w:jc w:val="center"/>
        <w:rPr>
          <w:szCs w:val="28"/>
        </w:rPr>
      </w:pPr>
    </w:p>
    <w:p>
      <w:pPr>
        <w:rPr>
          <w:b/>
          <w:sz w:val="24"/>
          <w:szCs w:val="28"/>
        </w:rPr>
      </w:pPr>
      <w:r>
        <w:rPr>
          <w:b/>
          <w:sz w:val="24"/>
          <w:szCs w:val="28"/>
        </w:rPr>
        <w:t>ИНН: _______________________</w:t>
      </w:r>
    </w:p>
    <w:p>
      <w:pPr>
        <w:rPr>
          <w:b/>
          <w:sz w:val="24"/>
          <w:szCs w:val="28"/>
        </w:rPr>
      </w:pPr>
    </w:p>
    <w:p>
      <w:pPr>
        <w:rPr>
          <w:b/>
          <w:sz w:val="24"/>
          <w:szCs w:val="28"/>
        </w:rPr>
      </w:pPr>
      <w:r>
        <w:rPr>
          <w:b/>
          <w:sz w:val="24"/>
          <w:szCs w:val="28"/>
        </w:rPr>
        <w:t>Место жительства гражданина, ведущего личное подсобное хозяйство ____________________</w:t>
      </w:r>
    </w:p>
    <w:p>
      <w:pPr>
        <w:rPr>
          <w:b/>
          <w:sz w:val="24"/>
          <w:szCs w:val="28"/>
        </w:rPr>
      </w:pPr>
    </w:p>
    <w:p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</w:t>
      </w:r>
    </w:p>
    <w:p>
      <w:pPr>
        <w:rPr>
          <w:sz w:val="26"/>
          <w:szCs w:val="26"/>
        </w:rPr>
      </w:pPr>
    </w:p>
    <w:p>
      <w:pPr>
        <w:ind w:left="142" w:firstLine="0"/>
        <w:numPr>
          <w:ilvl w:val="0"/>
          <w:numId w:val="2"/>
        </w:numPr>
        <w:tabs>
          <w:tab w:val="num" w:pos="426"/>
          <w:tab w:val="clear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Основная цель производства сельскохозяйственной продукции:</w:t>
      </w:r>
    </w:p>
    <w:tbl>
      <w:tblPr>
        <w:tblW w:w="10436" w:type="dxa"/>
        <w:tblInd w:w="250" w:type="dxa"/>
        <w:tblLook w:val="00A0" w:firstRow="1" w:lastRow="0" w:firstColumn="1" w:lastColumn="0" w:noHBand="0" w:noVBand="0"/>
      </w:tblPr>
      <w:tblGrid>
        <w:gridCol w:w="9733"/>
        <w:gridCol w:w="304"/>
        <w:gridCol w:w="1158"/>
        <w:gridCol w:w="-2527"/>
        <w:gridCol w:w="608"/>
        <w:gridCol w:w="1158"/>
      </w:tblGrid>
      <w:tr>
        <w:tc>
          <w:tcPr>
            <w:tcW w:w="9072" w:type="dxa"/>
            <w:gridSpan w:val="3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Основной источник продуктов питания и денежных средств (товарное ЛПХ) </w:t>
            </w:r>
          </w:p>
        </w:tc>
        <w:tc>
          <w:tcPr>
            <w:tcW w:w="284" w:type="dxa"/>
            <w:tcBorders>
              <w:left w:val="nil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651072" allowOverlap="1" hidden="0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4445</wp:posOffset>
                      </wp:positionV>
                      <wp:extent cx="293370" cy="185420"/>
                      <wp:effectExtent l="4762" t="4762" r="4762" b="4762"/>
                      <wp:wrapNone/>
                      <wp:docPr id="1027" name="shape102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337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7" style="position:absolute;margin-left:8,45pt;margin-top:0,35pt;width:23,1pt;height:14,6pt;mso-wrap-style:infront;mso-position-horizontal-relative:column;mso-position-vertical-relative:line;v-text-anchor:top;z-index:251651072" o:allowincell="t" filled="t" fillcolor="#ffffff" stroked="t" strokecolor="#0" strokeweight="0,75pt">
                      <v:stroke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655168" allowOverlap="1" hidden="0">
                      <wp:simplePos x="0" y="0"/>
                      <wp:positionH relativeFrom="column">
                        <wp:posOffset>5710555</wp:posOffset>
                      </wp:positionH>
                      <wp:positionV relativeFrom="paragraph">
                        <wp:posOffset>4577080</wp:posOffset>
                      </wp:positionV>
                      <wp:extent cx="293370" cy="185420"/>
                      <wp:effectExtent l="4762" t="4762" r="4762" b="4762"/>
                      <wp:wrapNone/>
                      <wp:docPr id="1028" name="shape1028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337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8" style="position:absolute;margin-left:449,65pt;margin-top:360,4pt;width:23,1pt;height:14,6pt;mso-wrap-style:infront;mso-position-horizontal-relative:column;mso-position-vertical-relative:line;v-text-anchor:top;z-index:251655168" o:allowincell="t" filled="t" fillcolor="#ffffff" stroked="t" strokecolor="#0" strokeweight="0,75pt">
                      <v:stroke/>
                    </v:rect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656192" allowOverlap="1" hidden="0">
                      <wp:simplePos x="0" y="0"/>
                      <wp:positionH relativeFrom="column">
                        <wp:posOffset>5710555</wp:posOffset>
                      </wp:positionH>
                      <wp:positionV relativeFrom="paragraph">
                        <wp:posOffset>4577080</wp:posOffset>
                      </wp:positionV>
                      <wp:extent cx="293370" cy="185420"/>
                      <wp:effectExtent l="4762" t="4762" r="4762" b="4762"/>
                      <wp:wrapNone/>
                      <wp:docPr id="1029" name="shape1029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337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9" style="position:absolute;margin-left:449,65pt;margin-top:360,4pt;width:23,1pt;height:14,6pt;mso-wrap-style:infront;mso-position-horizontal-relative:column;mso-position-vertical-relative:line;v-text-anchor:top;z-index:251656192" o:allowincell="t" filled="t" fillcolor="#ffffff" stroked="t" strokecolor="#0" strokeweight="0,75pt">
                      <v:stroke/>
                    </v:rect>
                  </w:pict>
                </mc:Fallback>
              </mc:AlternateContent>
            </w:r>
          </w:p>
        </w:tc>
        <w:tc>
          <w:tcPr>
            <w:tcW w:w="1080" w:type="dxa"/>
            <w:gridSpan w:val="2"/>
          </w:tcPr>
          <w:p>
            <w:pPr>
              <w:rPr>
                <w:sz w:val="26"/>
                <w:szCs w:val="26"/>
              </w:rPr>
            </w:pPr>
          </w:p>
        </w:tc>
      </w:tr>
      <w:tr>
        <w:trPr>
          <w:gridAfter w:val="1"/>
          <w:wAfter w:w="709" w:type="dxa"/>
          <w:trHeight w:val="261" w:hRule="atLeast"/>
        </w:trPr>
        <w:tc>
          <w:tcPr>
            <w:tcW w:w="8080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Основной источник продуктов питания (на собственное потребление)       </w:t>
            </w:r>
          </w:p>
        </w:tc>
        <w:tc>
          <w:tcPr>
            <w:tcW w:w="567" w:type="dxa"/>
          </w:tcPr>
          <w:p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652096" allowOverlap="1" hidden="0">
                      <wp:simplePos x="0" y="0"/>
                      <wp:positionH relativeFrom="column">
                        <wp:posOffset>5530215</wp:posOffset>
                      </wp:positionH>
                      <wp:positionV relativeFrom="paragraph">
                        <wp:posOffset>4032885</wp:posOffset>
                      </wp:positionV>
                      <wp:extent cx="293370" cy="120015"/>
                      <wp:effectExtent l="4762" t="4762" r="4762" b="4762"/>
                      <wp:wrapNone/>
                      <wp:docPr id="1030" name="shape103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337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0" style="position:absolute;margin-left:435,45pt;margin-top:317,55pt;width:23,1pt;height:9,45pt;mso-wrap-style:infront;mso-position-horizontal-relative:column;mso-position-vertical-relative:line;v-text-anchor:top;z-index:251652096" o:allowincell="t" filled="t" fillcolor="#ffffff" stroked="t" strokecolor="#0" strokeweight="0,75pt">
                      <v:stroke/>
                    </v:rect>
                  </w:pict>
                </mc:Fallback>
              </mc:AlternateContent>
            </w:r>
          </w:p>
        </w:tc>
        <w:tc>
          <w:tcPr>
            <w:tcW w:w="1080" w:type="dxa"/>
            <w:gridSpan w:val="3"/>
          </w:tcPr>
          <w:p>
            <w:pPr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behindDoc="0" locked="0" layoutInCell="1" simplePos="0" relativeHeight="251657216" allowOverlap="1" hidden="0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55245</wp:posOffset>
                      </wp:positionV>
                      <wp:extent cx="293370" cy="185420"/>
                      <wp:effectExtent l="4762" t="4762" r="4762" b="4762"/>
                      <wp:wrapNone/>
                      <wp:docPr id="1031" name="shape1031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337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1" style="position:absolute;margin-left:29,95pt;margin-top:4,35pt;width:23,1pt;height:14,6pt;mso-wrap-style:infront;mso-position-horizontal-relative:column;mso-position-vertical-relative:line;v-text-anchor:top;z-index:251657216" o:allowincell="t" filled="t" fillcolor="#ffffff" stroked="t" strokecolor="#0" strokeweight="0,75pt">
                      <v:stroke/>
                    </v:rect>
                  </w:pict>
                </mc:Fallback>
              </mc:AlternateContent>
            </w:r>
          </w:p>
          <w:p>
            <w:pPr>
              <w:rPr>
                <w:sz w:val="26"/>
                <w:szCs w:val="26"/>
              </w:rPr>
            </w:pPr>
          </w:p>
        </w:tc>
      </w:tr>
    </w:tbl>
    <w:p>
      <w:pPr>
        <w:ind w:hanging="578"/>
        <w:numPr>
          <w:ilvl w:val="0"/>
          <w:numId w:val="2"/>
        </w:numPr>
        <w:tabs>
          <w:tab w:val="num" w:pos="426"/>
          <w:tab w:val="clear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Трудовые ресурсы семьи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2"/>
        <w:gridCol w:w="3969"/>
      </w:tblGrid>
      <w:tr>
        <w:tc>
          <w:tcPr>
            <w:tcW w:w="5912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3969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членов семьи</w:t>
            </w:r>
          </w:p>
        </w:tc>
      </w:tr>
      <w:tr>
        <w:trPr>
          <w:trHeight w:val="351" w:hRule="atLeast"/>
        </w:trPr>
        <w:tc>
          <w:tcPr>
            <w:tcW w:w="591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396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28" w:hRule="atLeast"/>
        </w:trPr>
        <w:tc>
          <w:tcPr>
            <w:tcW w:w="591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в возрасте до 16 лет включительно</w:t>
            </w:r>
          </w:p>
        </w:tc>
        <w:tc>
          <w:tcPr>
            <w:tcW w:w="396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06" w:hRule="atLeast"/>
        </w:trPr>
        <w:tc>
          <w:tcPr>
            <w:tcW w:w="591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в возрасте от 17- 25 лет включительно</w:t>
            </w:r>
          </w:p>
        </w:tc>
        <w:tc>
          <w:tcPr>
            <w:tcW w:w="396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06" w:hRule="atLeast"/>
        </w:trPr>
        <w:tc>
          <w:tcPr>
            <w:tcW w:w="591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в возрасте от 26 - 45 лет включительно</w:t>
            </w:r>
          </w:p>
        </w:tc>
        <w:tc>
          <w:tcPr>
            <w:tcW w:w="396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299" w:hRule="atLeast"/>
        </w:trPr>
        <w:tc>
          <w:tcPr>
            <w:tcW w:w="5912" w:type="dxa"/>
          </w:tcPr>
          <w:p>
            <w:pPr>
              <w:ind w:firstLine="6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возрасте от 46 - 60 лет включительно</w:t>
            </w:r>
          </w:p>
        </w:tc>
        <w:tc>
          <w:tcPr>
            <w:tcW w:w="396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299" w:hRule="atLeast"/>
        </w:trPr>
        <w:tc>
          <w:tcPr>
            <w:tcW w:w="5912" w:type="dxa"/>
          </w:tcPr>
          <w:p>
            <w:pPr>
              <w:ind w:firstLine="6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старше 60 лет</w:t>
            </w:r>
          </w:p>
        </w:tc>
        <w:tc>
          <w:tcPr>
            <w:tcW w:w="396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299" w:hRule="atLeast"/>
        </w:trPr>
        <w:tc>
          <w:tcPr>
            <w:tcW w:w="591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 основное место работы - ЛПХ</w:t>
            </w:r>
          </w:p>
        </w:tc>
        <w:tc>
          <w:tcPr>
            <w:tcW w:w="3969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ind w:left="720"/>
        <w:rPr>
          <w:b/>
          <w:sz w:val="26"/>
          <w:szCs w:val="26"/>
        </w:rPr>
      </w:pPr>
    </w:p>
    <w:p>
      <w:pPr>
        <w:ind w:hanging="578"/>
        <w:numPr>
          <w:ilvl w:val="0"/>
          <w:numId w:val="2"/>
        </w:numPr>
        <w:tabs>
          <w:tab w:val="num" w:pos="426"/>
          <w:tab w:val="clear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Усадьба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3969"/>
      </w:tblGrid>
      <w:tr>
        <w:tc>
          <w:tcPr>
            <w:tcW w:w="595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969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 </w:t>
            </w:r>
          </w:p>
        </w:tc>
      </w:tr>
      <w:tr>
        <w:trPr>
          <w:trHeight w:val="186" w:hRule="atLeast"/>
        </w:trPr>
        <w:tc>
          <w:tcPr>
            <w:tcW w:w="595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дома,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275" w:hRule="atLeast"/>
        </w:trPr>
        <w:tc>
          <w:tcPr>
            <w:tcW w:w="595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изготовления:</w:t>
            </w:r>
          </w:p>
        </w:tc>
        <w:tc>
          <w:tcPr>
            <w:tcW w:w="396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14" w:hRule="atLeast"/>
        </w:trPr>
        <w:tc>
          <w:tcPr>
            <w:tcW w:w="595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а) дерево (сруб)</w:t>
            </w:r>
          </w:p>
        </w:tc>
        <w:tc>
          <w:tcPr>
            <w:tcW w:w="396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06" w:hRule="atLeast"/>
        </w:trPr>
        <w:tc>
          <w:tcPr>
            <w:tcW w:w="595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б) кирпич</w:t>
            </w:r>
          </w:p>
        </w:tc>
        <w:tc>
          <w:tcPr>
            <w:tcW w:w="396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235" w:hRule="atLeast"/>
        </w:trPr>
        <w:tc>
          <w:tcPr>
            <w:tcW w:w="595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Оборудован:</w:t>
            </w:r>
          </w:p>
        </w:tc>
        <w:tc>
          <w:tcPr>
            <w:tcW w:w="396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03" w:hRule="atLeast"/>
        </w:trPr>
        <w:tc>
          <w:tcPr>
            <w:tcW w:w="5954" w:type="dxa"/>
          </w:tcPr>
          <w:p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а) водопроводом</w:t>
            </w:r>
          </w:p>
        </w:tc>
        <w:tc>
          <w:tcPr>
            <w:tcW w:w="396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10" w:hRule="atLeast"/>
        </w:trPr>
        <w:tc>
          <w:tcPr>
            <w:tcW w:w="5954" w:type="dxa"/>
          </w:tcPr>
          <w:p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б) канализацией</w:t>
            </w:r>
          </w:p>
        </w:tc>
        <w:tc>
          <w:tcPr>
            <w:tcW w:w="396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29" w:hRule="atLeast"/>
        </w:trPr>
        <w:tc>
          <w:tcPr>
            <w:tcW w:w="5954" w:type="dxa"/>
          </w:tcPr>
          <w:p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в) электричеством</w:t>
            </w:r>
          </w:p>
        </w:tc>
        <w:tc>
          <w:tcPr>
            <w:tcW w:w="396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07" w:hRule="atLeast"/>
        </w:trPr>
        <w:tc>
          <w:tcPr>
            <w:tcW w:w="5954" w:type="dxa"/>
          </w:tcPr>
          <w:p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г) газом</w:t>
            </w:r>
          </w:p>
        </w:tc>
        <w:tc>
          <w:tcPr>
            <w:tcW w:w="3969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ind w:left="142" w:firstLine="0"/>
        <w:numPr>
          <w:ilvl w:val="0"/>
          <w:numId w:val="2"/>
        </w:numPr>
        <w:tabs>
          <w:tab w:val="num"/>
          <w:tab w:val="left" w:pos="284"/>
          <w:tab w:val="clear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Хозяйственные постройки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3969"/>
      </w:tblGrid>
      <w:tr>
        <w:tc>
          <w:tcPr>
            <w:tcW w:w="595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Площадь, м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339" w:hRule="atLeast"/>
        </w:trPr>
        <w:tc>
          <w:tcPr>
            <w:tcW w:w="595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для содержания скота</w:t>
            </w:r>
          </w:p>
        </w:tc>
        <w:tc>
          <w:tcPr>
            <w:tcW w:w="396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00" w:hRule="atLeast"/>
        </w:trPr>
        <w:tc>
          <w:tcPr>
            <w:tcW w:w="595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для хранения техники</w:t>
            </w:r>
          </w:p>
        </w:tc>
        <w:tc>
          <w:tcPr>
            <w:tcW w:w="3969" w:type="dxa"/>
          </w:tcPr>
          <w:p>
            <w:pPr>
              <w:ind w:right="-250"/>
              <w:rPr>
                <w:sz w:val="24"/>
                <w:szCs w:val="24"/>
              </w:rPr>
            </w:pPr>
          </w:p>
        </w:tc>
      </w:tr>
    </w:tbl>
    <w:p>
      <w:pPr>
        <w:ind w:left="360"/>
        <w:rPr>
          <w:b/>
          <w:sz w:val="26"/>
          <w:szCs w:val="26"/>
        </w:rPr>
      </w:pPr>
    </w:p>
    <w:p>
      <w:pPr>
        <w:ind w:left="142" w:firstLine="0"/>
        <w:numPr>
          <w:ilvl w:val="0"/>
          <w:numId w:val="2"/>
        </w:numPr>
        <w:tabs>
          <w:tab w:val="left" w:pos="284"/>
          <w:tab w:val="clear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Технические средства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3969"/>
      </w:tblGrid>
      <w:tr>
        <w:tc>
          <w:tcPr>
            <w:tcW w:w="5954" w:type="dxa"/>
          </w:tcPr>
          <w:p>
            <w:pPr>
              <w:jc w:val="center"/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>
            <w:pPr>
              <w:jc w:val="center"/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ед.</w:t>
            </w:r>
          </w:p>
        </w:tc>
      </w:tr>
      <w:tr>
        <w:trPr>
          <w:trHeight w:val="307" w:hRule="atLeast"/>
        </w:trPr>
        <w:tc>
          <w:tcPr>
            <w:tcW w:w="5954" w:type="dxa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</w:t>
            </w:r>
          </w:p>
        </w:tc>
        <w:tc>
          <w:tcPr>
            <w:tcW w:w="3969" w:type="dxa"/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</w:tr>
      <w:tr>
        <w:trPr>
          <w:trHeight w:val="419" w:hRule="atLeast"/>
        </w:trPr>
        <w:tc>
          <w:tcPr>
            <w:tcW w:w="5954" w:type="dxa"/>
          </w:tcPr>
          <w:p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Плуг тракторный</w:t>
            </w:r>
          </w:p>
        </w:tc>
        <w:tc>
          <w:tcPr>
            <w:tcW w:w="3969" w:type="dxa"/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</w:tr>
      <w:tr>
        <w:trPr>
          <w:trHeight w:val="412" w:hRule="atLeast"/>
        </w:trPr>
        <w:tc>
          <w:tcPr>
            <w:tcW w:w="5954" w:type="dxa"/>
          </w:tcPr>
          <w:p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Косилка тракторная</w:t>
            </w:r>
          </w:p>
        </w:tc>
        <w:tc>
          <w:tcPr>
            <w:tcW w:w="3969" w:type="dxa"/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</w:tr>
      <w:tr>
        <w:trPr>
          <w:trHeight w:val="418" w:hRule="atLeast"/>
        </w:trPr>
        <w:tc>
          <w:tcPr>
            <w:tcW w:w="5954" w:type="dxa"/>
          </w:tcPr>
          <w:p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Малогабаритная техника (мотоблок, мотокультиватор)</w:t>
            </w:r>
          </w:p>
        </w:tc>
        <w:tc>
          <w:tcPr>
            <w:tcW w:w="3969" w:type="dxa"/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</w:tr>
      <w:tr>
        <w:trPr>
          <w:trHeight w:val="409" w:hRule="atLeast"/>
        </w:trPr>
        <w:tc>
          <w:tcPr>
            <w:tcW w:w="5954" w:type="dxa"/>
          </w:tcPr>
          <w:p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грузовой</w:t>
            </w:r>
          </w:p>
        </w:tc>
        <w:tc>
          <w:tcPr>
            <w:tcW w:w="3969" w:type="dxa"/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</w:tr>
      <w:tr>
        <w:trPr>
          <w:trHeight w:val="429" w:hRule="atLeast"/>
        </w:trPr>
        <w:tc>
          <w:tcPr>
            <w:tcW w:w="5954" w:type="dxa"/>
          </w:tcPr>
          <w:p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3969" w:type="dxa"/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</w:tr>
      <w:tr>
        <w:trPr>
          <w:trHeight w:val="408" w:hRule="atLeast"/>
        </w:trPr>
        <w:tc>
          <w:tcPr>
            <w:tcW w:w="5954" w:type="dxa"/>
          </w:tcPr>
          <w:p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доильная</w:t>
            </w:r>
          </w:p>
        </w:tc>
        <w:tc>
          <w:tcPr>
            <w:tcW w:w="3969" w:type="dxa"/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</w:tr>
      <w:tr>
        <w:trPr>
          <w:trHeight w:val="413" w:hRule="atLeast"/>
        </w:trPr>
        <w:tc>
          <w:tcPr>
            <w:tcW w:w="5954" w:type="dxa"/>
          </w:tcPr>
          <w:p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технические средства (указать)</w:t>
            </w:r>
          </w:p>
        </w:tc>
        <w:tc>
          <w:tcPr>
            <w:tcW w:w="3969" w:type="dxa"/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>
      <w:pPr>
        <w:ind w:left="720"/>
        <w:rPr>
          <w:b/>
          <w:sz w:val="26"/>
          <w:szCs w:val="26"/>
        </w:rPr>
      </w:pPr>
    </w:p>
    <w:p>
      <w:pPr>
        <w:ind w:left="142" w:firstLine="0"/>
        <w:numPr>
          <w:ilvl w:val="0"/>
          <w:numId w:val="2"/>
        </w:numPr>
        <w:tabs>
          <w:tab w:val="num"/>
          <w:tab w:val="left" w:pos="284"/>
          <w:tab w:val="clear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Земельные ресурсы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  <w:gridCol w:w="1418"/>
      </w:tblGrid>
      <w:tr>
        <w:tc>
          <w:tcPr>
            <w:tcW w:w="850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Площадь, соток</w:t>
            </w:r>
          </w:p>
        </w:tc>
      </w:tr>
      <w:tr>
        <w:trPr>
          <w:trHeight w:val="381" w:hRule="atLeast"/>
        </w:trPr>
        <w:tc>
          <w:tcPr>
            <w:tcW w:w="850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8505" w:type="dxa"/>
          </w:tcPr>
          <w:p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Полевые земельные участки (включая арендованные сенокосы и пастбища)</w:t>
            </w: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ind w:left="360" w:hanging="644"/>
        <w:rPr>
          <w:b/>
          <w:sz w:val="26"/>
          <w:szCs w:val="26"/>
        </w:rPr>
      </w:pPr>
    </w:p>
    <w:p>
      <w:pPr>
        <w:ind w:left="142" w:firstLine="0"/>
        <w:jc w:val="both"/>
        <w:numPr>
          <w:ilvl w:val="0"/>
          <w:numId w:val="2"/>
        </w:numPr>
        <w:tabs>
          <w:tab w:val="num"/>
          <w:tab w:val="clear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Производство продукции растениеводства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Layout w:type="fixed"/>
      </w:tblPr>
      <w:tblGrid>
        <w:gridCol w:w="4394"/>
        <w:gridCol w:w="2694"/>
        <w:gridCol w:w="2835"/>
      </w:tblGrid>
      <w:tr>
        <w:tc>
          <w:tcPr>
            <w:tcW w:w="4394" w:type="dxa"/>
            <w:vMerge w:val="restart"/>
            <w:vAlign w:val="center"/>
          </w:tcPr>
          <w:p>
            <w:pPr>
              <w:jc w:val="center"/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культур</w:t>
            </w:r>
          </w:p>
        </w:tc>
        <w:tc>
          <w:tcPr>
            <w:tcW w:w="5529" w:type="dxa"/>
            <w:gridSpan w:val="2"/>
          </w:tcPr>
          <w:p>
            <w:pPr>
              <w:jc w:val="center"/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Произведено продукции, кг</w:t>
            </w:r>
          </w:p>
        </w:tc>
      </w:tr>
      <w:tr>
        <w:tc>
          <w:tcPr>
            <w:tcW w:w="4394" w:type="dxa"/>
            <w:vMerge w:val="continue"/>
          </w:tcPr>
          <w:p>
            <w:pPr>
              <w:jc w:val="center"/>
              <w:spacing w:line="216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>
            <w:pPr>
              <w:jc w:val="center"/>
              <w:spacing w:line="21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Урожай 2018 года</w:t>
            </w:r>
          </w:p>
        </w:tc>
        <w:tc>
          <w:tcPr>
            <w:tcW w:w="2835" w:type="dxa"/>
          </w:tcPr>
          <w:p>
            <w:pPr>
              <w:jc w:val="center"/>
              <w:spacing w:line="21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Урожай 2019 года</w:t>
            </w:r>
          </w:p>
        </w:tc>
      </w:tr>
      <w:tr>
        <w:trPr>
          <w:trHeight w:val="413" w:hRule="atLeast"/>
        </w:trPr>
        <w:tc>
          <w:tcPr>
            <w:tcW w:w="4394" w:type="dxa"/>
            <w:tcBorders>
              <w:bottom w:val="single" w:sz="4" w:space="0" w:color="auto"/>
            </w:tcBorders>
          </w:tcPr>
          <w:p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</w:tr>
      <w:tr>
        <w:trPr>
          <w:trHeight w:val="537" w:hRule="atLeast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Овощные культуры (открытый и защищенный грунт)- указать виды: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center"/>
              <w:spacing w:line="216" w:lineRule="auto"/>
              <w:rPr>
                <w:sz w:val="24"/>
                <w:szCs w:val="24"/>
              </w:rPr>
            </w:pPr>
          </w:p>
          <w:p>
            <w:pPr>
              <w:jc w:val="center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center"/>
              <w:spacing w:line="216" w:lineRule="auto"/>
              <w:rPr>
                <w:sz w:val="24"/>
                <w:szCs w:val="24"/>
              </w:rPr>
            </w:pPr>
          </w:p>
          <w:p>
            <w:pPr>
              <w:jc w:val="center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>
        <w:trPr>
          <w:trHeight w:val="425" w:hRule="atLeast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</w:tr>
      <w:tr>
        <w:trPr>
          <w:trHeight w:val="425" w:hRule="atLeast"/>
        </w:trPr>
        <w:tc>
          <w:tcPr>
            <w:tcW w:w="4394" w:type="dxa"/>
            <w:tcBorders>
              <w:top w:val="single" w:sz="4" w:space="0" w:color="auto"/>
            </w:tcBorders>
          </w:tcPr>
          <w:p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>
      <w:pPr>
        <w:ind w:left="720"/>
        <w:jc w:val="both"/>
        <w:rPr>
          <w:b/>
          <w:sz w:val="26"/>
          <w:szCs w:val="26"/>
        </w:rPr>
      </w:pPr>
    </w:p>
    <w:p>
      <w:pPr>
        <w:ind w:left="142" w:firstLine="0"/>
        <w:numPr>
          <w:ilvl w:val="0"/>
          <w:numId w:val="2"/>
        </w:numPr>
        <w:tabs>
          <w:tab w:val="num" w:pos="142"/>
          <w:tab w:val="left" w:pos="426"/>
          <w:tab w:val="clear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Поголовье животных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2126"/>
        <w:gridCol w:w="1916"/>
        <w:gridCol w:w="1770"/>
      </w:tblGrid>
      <w:tr>
        <w:trPr>
          <w:trHeight w:val="88" w:hRule="atLeast"/>
        </w:trPr>
        <w:tc>
          <w:tcPr>
            <w:tcW w:w="4111" w:type="dxa"/>
            <w:vMerge w:val="restart"/>
            <w:vAlign w:val="center"/>
          </w:tcPr>
          <w:p>
            <w:pPr>
              <w:jc w:val="center"/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животных</w:t>
            </w:r>
          </w:p>
        </w:tc>
        <w:tc>
          <w:tcPr>
            <w:tcW w:w="5812" w:type="dxa"/>
            <w:gridSpan w:val="3"/>
          </w:tcPr>
          <w:p>
            <w:pPr>
              <w:jc w:val="center"/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голов</w:t>
            </w:r>
          </w:p>
        </w:tc>
      </w:tr>
      <w:tr>
        <w:trPr>
          <w:trHeight w:val="88" w:hRule="atLeast"/>
        </w:trPr>
        <w:tc>
          <w:tcPr>
            <w:tcW w:w="4111" w:type="dxa"/>
            <w:vMerge w:val="continue"/>
          </w:tcPr>
          <w:p>
            <w:pPr>
              <w:jc w:val="center"/>
              <w:spacing w:line="21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jc w:val="center"/>
              <w:spacing w:line="21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 01.01.2019 </w:t>
            </w:r>
          </w:p>
        </w:tc>
        <w:tc>
          <w:tcPr>
            <w:tcW w:w="1916" w:type="dxa"/>
          </w:tcPr>
          <w:p>
            <w:pPr>
              <w:jc w:val="center"/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 01.01.2020 </w:t>
            </w:r>
          </w:p>
        </w:tc>
        <w:tc>
          <w:tcPr>
            <w:tcW w:w="1770" w:type="dxa"/>
          </w:tcPr>
          <w:p>
            <w:pPr>
              <w:jc w:val="center"/>
              <w:spacing w:line="21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 01.07.2020 </w:t>
            </w:r>
            <w:r>
              <w:rPr>
                <w:i/>
              </w:rPr>
              <w:t>(справочно)</w:t>
            </w:r>
          </w:p>
        </w:tc>
      </w:tr>
      <w:tr>
        <w:trPr>
          <w:trHeight w:val="432" w:hRule="atLeast"/>
        </w:trPr>
        <w:tc>
          <w:tcPr>
            <w:tcW w:w="4111" w:type="dxa"/>
          </w:tcPr>
          <w:p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Коровы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</w:tr>
      <w:tr>
        <w:trPr>
          <w:trHeight w:val="410" w:hRule="atLeast"/>
        </w:trPr>
        <w:tc>
          <w:tcPr>
            <w:tcW w:w="4111" w:type="dxa"/>
          </w:tcPr>
          <w:p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Нетели, бычки, телочки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</w:tr>
      <w:tr>
        <w:trPr>
          <w:trHeight w:val="415" w:hRule="atLeast"/>
        </w:trPr>
        <w:tc>
          <w:tcPr>
            <w:tcW w:w="4111" w:type="dxa"/>
          </w:tcPr>
          <w:p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Свиньи </w:t>
            </w:r>
          </w:p>
        </w:tc>
        <w:tc>
          <w:tcPr>
            <w:tcW w:w="2126" w:type="dxa"/>
          </w:tcPr>
          <w:p>
            <w:pPr>
              <w:jc w:val="center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jc w:val="center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>
            <w:pPr>
              <w:jc w:val="center"/>
              <w:spacing w:line="216" w:lineRule="auto"/>
              <w:rPr>
                <w:sz w:val="24"/>
                <w:szCs w:val="24"/>
              </w:rPr>
            </w:pPr>
          </w:p>
        </w:tc>
      </w:tr>
      <w:tr>
        <w:trPr>
          <w:trHeight w:val="421" w:hRule="atLeast"/>
        </w:trPr>
        <w:tc>
          <w:tcPr>
            <w:tcW w:w="4111" w:type="dxa"/>
          </w:tcPr>
          <w:p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Овцы 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</w:tr>
      <w:tr>
        <w:trPr>
          <w:trHeight w:val="421" w:hRule="atLeast"/>
        </w:trPr>
        <w:tc>
          <w:tcPr>
            <w:tcW w:w="4111" w:type="dxa"/>
          </w:tcPr>
          <w:p>
            <w:pPr>
              <w:ind w:left="34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</w:tr>
      <w:tr>
        <w:trPr>
          <w:trHeight w:val="421" w:hRule="atLeast"/>
        </w:trPr>
        <w:tc>
          <w:tcPr>
            <w:tcW w:w="4111" w:type="dxa"/>
          </w:tcPr>
          <w:p>
            <w:pPr>
              <w:ind w:left="34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Кролики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</w:tr>
      <w:tr>
        <w:trPr>
          <w:trHeight w:val="414" w:hRule="atLeast"/>
        </w:trPr>
        <w:tc>
          <w:tcPr>
            <w:tcW w:w="4111" w:type="dxa"/>
          </w:tcPr>
          <w:p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Лошади </w:t>
            </w:r>
          </w:p>
        </w:tc>
        <w:tc>
          <w:tcPr>
            <w:tcW w:w="2126" w:type="dxa"/>
          </w:tcPr>
          <w:p>
            <w:pPr>
              <w:jc w:val="center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jc w:val="center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>
            <w:pPr>
              <w:jc w:val="center"/>
              <w:spacing w:line="216" w:lineRule="auto"/>
              <w:rPr>
                <w:sz w:val="24"/>
                <w:szCs w:val="24"/>
              </w:rPr>
            </w:pPr>
          </w:p>
        </w:tc>
      </w:tr>
      <w:tr>
        <w:trPr>
          <w:trHeight w:val="414" w:hRule="atLeast"/>
        </w:trPr>
        <w:tc>
          <w:tcPr>
            <w:tcW w:w="4111" w:type="dxa"/>
          </w:tcPr>
          <w:p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Птица взрослая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</w:tr>
      <w:tr>
        <w:trPr>
          <w:trHeight w:val="414" w:hRule="atLeast"/>
        </w:trPr>
        <w:tc>
          <w:tcPr>
            <w:tcW w:w="4111" w:type="dxa"/>
          </w:tcPr>
          <w:p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Пчелосемьи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</w:tr>
      <w:tr>
        <w:trPr>
          <w:trHeight w:val="410" w:hRule="atLeast"/>
        </w:trPr>
        <w:tc>
          <w:tcPr>
            <w:tcW w:w="4111" w:type="dxa"/>
          </w:tcPr>
          <w:p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виды (указать)</w:t>
            </w:r>
          </w:p>
        </w:tc>
        <w:tc>
          <w:tcPr>
            <w:tcW w:w="2126" w:type="dxa"/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9. Произведено продукции животноводства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Layout w:type="fixed"/>
      </w:tblPr>
      <w:tblGrid>
        <w:gridCol w:w="1995"/>
        <w:gridCol w:w="1464"/>
        <w:gridCol w:w="1077"/>
        <w:gridCol w:w="992"/>
        <w:gridCol w:w="1418"/>
        <w:gridCol w:w="850"/>
        <w:gridCol w:w="851"/>
        <w:gridCol w:w="1276"/>
      </w:tblGrid>
      <w:tr>
        <w:tc>
          <w:tcPr>
            <w:tcW w:w="199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64" w:type="dxa"/>
            <w:vMerge w:val="restart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3487" w:type="dxa"/>
            <w:gridSpan w:val="3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Произведено</w:t>
            </w:r>
          </w:p>
        </w:tc>
        <w:tc>
          <w:tcPr>
            <w:tcW w:w="2977" w:type="dxa"/>
            <w:gridSpan w:val="3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Реализовано </w:t>
            </w:r>
          </w:p>
        </w:tc>
      </w:tr>
      <w:tr>
        <w:tc>
          <w:tcPr>
            <w:tcW w:w="1995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vMerge w:val="continue"/>
            <w:tcBorders>
              <w:bottom w:val="single" w:sz="4" w:space="0" w:color="auto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>
            <w:pPr>
              <w:jc w:val="center"/>
              <w:spacing w:line="216" w:lineRule="auto"/>
              <w:rPr>
                <w:i/>
              </w:rPr>
            </w:pPr>
            <w:r>
              <w:rPr>
                <w:i/>
              </w:rPr>
              <w:t>за 2018 год</w:t>
            </w:r>
          </w:p>
        </w:tc>
        <w:tc>
          <w:tcPr>
            <w:tcW w:w="992" w:type="dxa"/>
          </w:tcPr>
          <w:p>
            <w:pPr>
              <w:jc w:val="center"/>
              <w:spacing w:line="216" w:lineRule="auto"/>
              <w:rPr>
                <w:b/>
              </w:rPr>
            </w:pPr>
            <w:r>
              <w:rPr>
                <w:i/>
              </w:rPr>
              <w:t>за 2019 год</w:t>
            </w:r>
          </w:p>
        </w:tc>
        <w:tc>
          <w:tcPr>
            <w:tcW w:w="1418" w:type="dxa"/>
          </w:tcPr>
          <w:p>
            <w:pPr>
              <w:jc w:val="center"/>
              <w:spacing w:line="216" w:lineRule="auto"/>
              <w:rPr>
                <w:b/>
              </w:rPr>
            </w:pPr>
            <w:r>
              <w:rPr>
                <w:i/>
              </w:rPr>
              <w:t>за 6 мес.2020 года (справочно)</w:t>
            </w:r>
          </w:p>
        </w:tc>
        <w:tc>
          <w:tcPr>
            <w:tcW w:w="850" w:type="dxa"/>
          </w:tcPr>
          <w:p>
            <w:pPr>
              <w:jc w:val="center"/>
              <w:spacing w:line="216" w:lineRule="auto"/>
              <w:rPr>
                <w:i/>
              </w:rPr>
            </w:pPr>
            <w:r>
              <w:rPr>
                <w:i/>
              </w:rPr>
              <w:t>за 2018 год</w:t>
            </w:r>
          </w:p>
        </w:tc>
        <w:tc>
          <w:tcPr>
            <w:tcW w:w="851" w:type="dxa"/>
          </w:tcPr>
          <w:p>
            <w:pPr>
              <w:jc w:val="center"/>
              <w:spacing w:line="216" w:lineRule="auto"/>
              <w:rPr>
                <w:i/>
              </w:rPr>
            </w:pPr>
            <w:r>
              <w:rPr>
                <w:i/>
              </w:rPr>
              <w:t>за 2019 год</w:t>
            </w:r>
          </w:p>
        </w:tc>
        <w:tc>
          <w:tcPr>
            <w:tcW w:w="1276" w:type="dxa"/>
          </w:tcPr>
          <w:p>
            <w:pPr>
              <w:jc w:val="center"/>
              <w:spacing w:line="216" w:lineRule="auto"/>
              <w:rPr>
                <w:i/>
              </w:rPr>
            </w:pPr>
            <w:r>
              <w:rPr>
                <w:i/>
              </w:rPr>
              <w:t>за 6 мес.2020 года (справочно)</w:t>
            </w:r>
          </w:p>
        </w:tc>
      </w:tr>
      <w:tr>
        <w:trPr>
          <w:trHeight w:val="437" w:hRule="atLeast"/>
        </w:trPr>
        <w:tc>
          <w:tcPr>
            <w:tcW w:w="1995" w:type="dxa"/>
            <w:tcBorders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кг.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15" w:hRule="atLeast"/>
        </w:trPr>
        <w:tc>
          <w:tcPr>
            <w:tcW w:w="1995" w:type="dxa"/>
            <w:tcBorders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убойном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07" w:hRule="atLeast"/>
        </w:trPr>
        <w:tc>
          <w:tcPr>
            <w:tcW w:w="1995" w:type="dxa"/>
            <w:tcBorders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Свиньи</w:t>
            </w:r>
          </w:p>
        </w:tc>
        <w:tc>
          <w:tcPr>
            <w:tcW w:w="146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06" w:hRule="atLeast"/>
        </w:trPr>
        <w:tc>
          <w:tcPr>
            <w:tcW w:w="1995" w:type="dxa"/>
            <w:tcBorders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Прочий скот</w:t>
            </w:r>
          </w:p>
        </w:tc>
        <w:tc>
          <w:tcPr>
            <w:tcW w:w="146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11" w:hRule="atLeast"/>
        </w:trPr>
        <w:tc>
          <w:tcPr>
            <w:tcW w:w="1995" w:type="dxa"/>
            <w:tcBorders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Птица</w:t>
            </w:r>
          </w:p>
        </w:tc>
        <w:tc>
          <w:tcPr>
            <w:tcW w:w="146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11" w:hRule="atLeast"/>
        </w:trPr>
        <w:tc>
          <w:tcPr>
            <w:tcW w:w="1995" w:type="dxa"/>
            <w:tcBorders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Кролики</w:t>
            </w:r>
          </w:p>
        </w:tc>
        <w:tc>
          <w:tcPr>
            <w:tcW w:w="146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17" w:hRule="atLeast"/>
        </w:trPr>
        <w:tc>
          <w:tcPr>
            <w:tcW w:w="199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Яйца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7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17" w:hRule="atLeast"/>
        </w:trPr>
        <w:tc>
          <w:tcPr>
            <w:tcW w:w="199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Мёд </w:t>
            </w:r>
          </w:p>
        </w:tc>
        <w:tc>
          <w:tcPr>
            <w:tcW w:w="146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кг.</w:t>
            </w:r>
          </w:p>
        </w:tc>
        <w:tc>
          <w:tcPr>
            <w:tcW w:w="107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b/>
          <w:sz w:val="28"/>
          <w:szCs w:val="28"/>
        </w:rPr>
      </w:pPr>
    </w:p>
    <w:p>
      <w:pPr>
        <w:pStyle w:val="af3"/>
        <w:ind w:left="0" w:firstLine="142"/>
        <w:numPr>
          <w:ilvl w:val="0"/>
          <w:numId w:val="3"/>
        </w:numPr>
        <w:tabs>
          <w:tab w:val="num"/>
          <w:tab w:val="clear" w:pos="644"/>
        </w:tabs>
        <w:rPr>
          <w:lang w:eastAsia="ru-RU"/>
          <w:rFonts w:ascii="Times New Roman" w:eastAsia="Times New Roman" w:hAnsi="Times New Roman"/>
          <w:b/>
          <w:sz w:val="24"/>
          <w:szCs w:val="24"/>
        </w:rPr>
      </w:pPr>
      <w:r>
        <w:rPr>
          <w:lang w:eastAsia="ru-RU"/>
          <w:noProof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67456" allowOverlap="1" hidden="0">
                <wp:simplePos x="0" y="0"/>
                <wp:positionH relativeFrom="column">
                  <wp:posOffset>818515</wp:posOffset>
                </wp:positionH>
                <wp:positionV relativeFrom="paragraph">
                  <wp:posOffset>307975</wp:posOffset>
                </wp:positionV>
                <wp:extent cx="293370" cy="178435"/>
                <wp:effectExtent l="4762" t="4762" r="4762" b="4762"/>
                <wp:wrapNone/>
                <wp:docPr id="1032" name="shape103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2" style="position:absolute;margin-left:64,45pt;margin-top:24,25pt;width:23,1pt;height:14,05pt;mso-wrap-style:infront;mso-position-horizontal-relative:column;mso-position-vertical-relative:line;v-text-anchor:top;z-index:251667456" o:allowincell="t" filled="t" fillcolor="#ffffff" stroked="t" strokecolor="#0" strokeweight="0,75pt">
                <v:stroke/>
              </v:rect>
            </w:pict>
          </mc:Fallback>
        </mc:AlternateContent>
      </w:r>
      <w:r>
        <w:rPr>
          <w:lang w:eastAsia="ru-RU"/>
          <w:noProof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69504" allowOverlap="1" hidden="0">
                <wp:simplePos x="0" y="0"/>
                <wp:positionH relativeFrom="column">
                  <wp:posOffset>3012826</wp:posOffset>
                </wp:positionH>
                <wp:positionV relativeFrom="paragraph">
                  <wp:posOffset>309245</wp:posOffset>
                </wp:positionV>
                <wp:extent cx="293370" cy="178435"/>
                <wp:effectExtent l="4762" t="4762" r="4762" b="4762"/>
                <wp:wrapNone/>
                <wp:docPr id="1033" name="shape103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3" style="position:absolute;margin-left:237,23pt;margin-top:24,35pt;width:23,1pt;height:14,05pt;mso-wrap-style:infront;mso-position-horizontal-relative:column;mso-position-vertical-relative:line;v-text-anchor:top;z-index:251669504" o:allowincell="t" filled="t" fillcolor="#ffffff" stroked="t" strokecolor="#0" strokeweight="0,75pt">
                <v:stroke/>
              </v:rect>
            </w:pict>
          </mc:Fallback>
        </mc:AlternateContent>
      </w:r>
      <w:r>
        <w:rPr>
          <w:lang w:eastAsia="ru-RU"/>
          <w:rFonts w:ascii="Times New Roman" w:eastAsia="Times New Roman" w:hAnsi="Times New Roman"/>
          <w:b/>
          <w:sz w:val="24"/>
          <w:szCs w:val="24"/>
        </w:rPr>
        <w:t>Реализация продукции на пункты сбора (переработки) молока</w:t>
      </w:r>
    </w:p>
    <w:p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Нет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68480" allowOverlap="1" hidden="0">
                <wp:simplePos x="0" y="0"/>
                <wp:positionH relativeFrom="column">
                  <wp:posOffset>1909445</wp:posOffset>
                </wp:positionH>
                <wp:positionV relativeFrom="paragraph">
                  <wp:posOffset>6884035</wp:posOffset>
                </wp:positionV>
                <wp:extent cx="293370" cy="178435"/>
                <wp:effectExtent l="4762" t="4762" r="4762" b="4762"/>
                <wp:wrapNone/>
                <wp:docPr id="1034" name="shape103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4" style="position:absolute;margin-left:150,35pt;margin-top:542,05pt;width:23,1pt;height:14,05pt;mso-wrap-style:infront;mso-position-horizontal-relative:column;mso-position-vertical-relative:line;v-text-anchor:top;z-index:251668480" o:allowincell="t" filled="t" fillcolor="#ffffff" stroked="t" strokecolor="#0" strokeweight="0,75pt">
                <v:stroke/>
              </v:rect>
            </w:pict>
          </mc:Fallback>
        </mc:AlternateContent>
      </w:r>
      <w:r>
        <w:rPr>
          <w:sz w:val="24"/>
          <w:szCs w:val="24"/>
        </w:rPr>
        <w:t xml:space="preserve">       </w:t>
      </w:r>
    </w:p>
    <w:p>
      <w:pPr>
        <w:rPr>
          <w:b/>
          <w:sz w:val="24"/>
          <w:szCs w:val="24"/>
        </w:rPr>
      </w:pPr>
    </w:p>
    <w:p>
      <w:pPr>
        <w:ind w:left="0" w:firstLine="142"/>
        <w:jc w:val="both"/>
        <w:numPr>
          <w:ilvl w:val="0"/>
          <w:numId w:val="3"/>
        </w:numPr>
        <w:tabs>
          <w:tab w:val="num"/>
          <w:tab w:val="clear" w:pos="64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Являетесь ли членом сельскохозяйственного потребительского кооператива</w:t>
      </w:r>
    </w:p>
    <w:p>
      <w:pPr>
        <w:ind w:left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column">
                  <wp:posOffset>819150</wp:posOffset>
                </wp:positionH>
                <wp:positionV relativeFrom="paragraph">
                  <wp:posOffset>10160</wp:posOffset>
                </wp:positionV>
                <wp:extent cx="293370" cy="178435"/>
                <wp:effectExtent l="4762" t="4762" r="4762" b="4762"/>
                <wp:wrapNone/>
                <wp:docPr id="1035" name="shape103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5" style="position:absolute;margin-left:64,5pt;margin-top:0,8pt;width:23,1pt;height:14,05pt;mso-wrap-style:infront;mso-position-horizontal-relative:column;mso-position-vertical-relative:line;v-text-anchor:top;z-index:251659264" o:allowincell="t" filled="t" fillcolor="#ffffff" stroked="t" strokecolor="#0" strokeweight="0,75pt">
                <v:stroke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65408" allowOverlap="1" hidden="0">
                <wp:simplePos x="0" y="0"/>
                <wp:positionH relativeFrom="column">
                  <wp:posOffset>3014124</wp:posOffset>
                </wp:positionH>
                <wp:positionV relativeFrom="paragraph">
                  <wp:posOffset>7067</wp:posOffset>
                </wp:positionV>
                <wp:extent cx="293370" cy="178435"/>
                <wp:effectExtent l="4762" t="4762" r="4762" b="4762"/>
                <wp:wrapNone/>
                <wp:docPr id="1036" name="shape103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6" style="position:absolute;margin-left:237,333pt;margin-top:0,556457pt;width:23,1pt;height:14,05pt;mso-wrap-style:infront;mso-position-horizontal-relative:column;mso-position-vertical-relative:line;v-text-anchor:top;z-index:251665408" o:allowincell="t" filled="t" fillcolor="#ffffff" stroked="t" strokecolor="#0" strokeweight="0,75pt">
                <v:stroke/>
              </v:rect>
            </w:pict>
          </mc:Fallback>
        </mc:AlternateContent>
      </w:r>
      <w:r>
        <w:rPr>
          <w:sz w:val="24"/>
          <w:szCs w:val="24"/>
        </w:rPr>
        <w:t xml:space="preserve">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Нет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60288" allowOverlap="1" hidden="0">
                <wp:simplePos x="0" y="0"/>
                <wp:positionH relativeFrom="column">
                  <wp:posOffset>1909445</wp:posOffset>
                </wp:positionH>
                <wp:positionV relativeFrom="paragraph">
                  <wp:posOffset>6884035</wp:posOffset>
                </wp:positionV>
                <wp:extent cx="293370" cy="178435"/>
                <wp:effectExtent l="4762" t="4762" r="4762" b="4762"/>
                <wp:wrapNone/>
                <wp:docPr id="1037" name="shape103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7" style="position:absolute;margin-left:150,35pt;margin-top:542,05pt;width:23,1pt;height:14,05pt;mso-wrap-style:infront;mso-position-horizontal-relative:column;mso-position-vertical-relative:line;v-text-anchor:top;z-index:251660288" o:allowincell="t" filled="t" fillcolor="#ffffff" stroked="t" strokecolor="#0" strokeweight="0,75pt">
                <v:stroke/>
              </v:rect>
            </w:pict>
          </mc:Fallback>
        </mc:AlternateContent>
      </w:r>
      <w:r>
        <w:rPr>
          <w:sz w:val="24"/>
          <w:szCs w:val="24"/>
        </w:rPr>
        <w:t xml:space="preserve">       </w:t>
      </w:r>
    </w:p>
    <w:p>
      <w:pPr>
        <w:jc w:val="both"/>
        <w:rPr>
          <w:b/>
          <w:sz w:val="24"/>
          <w:szCs w:val="24"/>
        </w:rPr>
      </w:pPr>
    </w:p>
    <w:p>
      <w:pPr>
        <w:jc w:val="center"/>
        <w:spacing w:line="80" w:lineRule="atLeast"/>
        <w:rPr>
          <w:b/>
          <w:sz w:val="24"/>
          <w:szCs w:val="24"/>
          <w:vertAlign w:val="subscript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63360" allowOverlap="1" hidden="0">
                <wp:simplePos x="0" y="0"/>
                <wp:positionH relativeFrom="column">
                  <wp:posOffset>28575</wp:posOffset>
                </wp:positionH>
                <wp:positionV relativeFrom="paragraph">
                  <wp:posOffset>19685</wp:posOffset>
                </wp:positionV>
                <wp:extent cx="6480175" cy="21590"/>
                <wp:effectExtent l="4762" t="4762" r="4762" b="4762"/>
                <wp:wrapNone/>
                <wp:docPr id="1038" name="shape103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 flipV="1">
                          <a:off x="0" y="0"/>
                          <a:ext cx="6480175" cy="2159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21600e"/>
              <v:shape id="1038" type="#_x0000_t32" o:spt="32" style="position:absolute;margin-left:2,25pt;margin-top:1,55pt;width:510,25pt;height:1,7pt;mso-wrap-style:infront;mso-position-horizontal-relative:column;mso-position-vertical-relative:line;v-text-anchor:top;flip:y;z-index:251663360" coordsize="21600, 21600" o:allowincell="t" filled="f" fillcolor="#ffffff" stroked="t" strokecolor="#0" strokeweight="0,75pt">
                <v:stroke joinstyle="round"/>
              </v:shape>
            </w:pict>
          </mc:Fallback>
        </mc:AlternateContent>
      </w:r>
      <w:r>
        <w:rPr>
          <w:b/>
          <w:sz w:val="24"/>
          <w:szCs w:val="24"/>
          <w:vertAlign w:val="subscript"/>
        </w:rPr>
        <w:t>(название сельскохозяйственного потребительского кооператива)</w:t>
      </w:r>
    </w:p>
    <w:p>
      <w:pPr>
        <w:jc w:val="center"/>
        <w:rPr>
          <w:b/>
          <w:sz w:val="24"/>
          <w:szCs w:val="24"/>
        </w:rPr>
      </w:pPr>
    </w:p>
    <w:p>
      <w:pPr>
        <w:ind w:left="0" w:firstLine="142"/>
        <w:jc w:val="both"/>
        <w:numPr>
          <w:ilvl w:val="0"/>
          <w:numId w:val="3"/>
        </w:numPr>
        <w:tabs>
          <w:tab w:val="num"/>
          <w:tab w:val="clear" w:pos="64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Являетесь ли членом Ассоциации крестьянских (фермерских) хозяйств и сельскохозяйственных кооперативов в Республике Коми «Фермеры Коми»</w:t>
      </w:r>
    </w:p>
    <w:p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71552" allowOverlap="1" hidden="0">
                <wp:simplePos x="0" y="0"/>
                <wp:positionH relativeFrom="column">
                  <wp:posOffset>819150</wp:posOffset>
                </wp:positionH>
                <wp:positionV relativeFrom="paragraph">
                  <wp:posOffset>10160</wp:posOffset>
                </wp:positionV>
                <wp:extent cx="293370" cy="178435"/>
                <wp:effectExtent l="4762" t="4762" r="4762" b="4762"/>
                <wp:wrapNone/>
                <wp:docPr id="1039" name="shape103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9" style="position:absolute;margin-left:64,5pt;margin-top:0,8pt;width:23,1pt;height:14,05pt;mso-wrap-style:infront;mso-position-horizontal-relative:column;mso-position-vertical-relative:line;v-text-anchor:top;z-index:251671552" o:allowincell="t" filled="t" fillcolor="#ffffff" stroked="t" strokecolor="#0" strokeweight="0,75pt">
                <v:stroke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73600" allowOverlap="1" hidden="0">
                <wp:simplePos x="0" y="0"/>
                <wp:positionH relativeFrom="column">
                  <wp:posOffset>3014124</wp:posOffset>
                </wp:positionH>
                <wp:positionV relativeFrom="paragraph">
                  <wp:posOffset>7067</wp:posOffset>
                </wp:positionV>
                <wp:extent cx="293370" cy="178435"/>
                <wp:effectExtent l="4762" t="4762" r="4762" b="4762"/>
                <wp:wrapNone/>
                <wp:docPr id="1040" name="shape104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0" style="position:absolute;margin-left:237,333pt;margin-top:0,556457pt;width:23,1pt;height:14,05pt;mso-wrap-style:infront;mso-position-horizontal-relative:column;mso-position-vertical-relative:line;v-text-anchor:top;z-index:251673600" o:allowincell="t" filled="t" fillcolor="#ffffff" stroked="t" strokecolor="#0" strokeweight="0,75pt">
                <v:stroke/>
              </v:rect>
            </w:pict>
          </mc:Fallback>
        </mc:AlternateContent>
      </w:r>
      <w:r>
        <w:rPr>
          <w:sz w:val="24"/>
          <w:szCs w:val="24"/>
        </w:rPr>
        <w:t xml:space="preserve">            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Нет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72576" allowOverlap="1" hidden="0">
                <wp:simplePos x="0" y="0"/>
                <wp:positionH relativeFrom="column">
                  <wp:posOffset>1909445</wp:posOffset>
                </wp:positionH>
                <wp:positionV relativeFrom="paragraph">
                  <wp:posOffset>6884035</wp:posOffset>
                </wp:positionV>
                <wp:extent cx="293370" cy="178435"/>
                <wp:effectExtent l="4762" t="4762" r="4762" b="4762"/>
                <wp:wrapNone/>
                <wp:docPr id="1041" name="shape104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1" style="position:absolute;margin-left:150,35pt;margin-top:542,05pt;width:23,1pt;height:14,05pt;mso-wrap-style:infront;mso-position-horizontal-relative:column;mso-position-vertical-relative:line;v-text-anchor:top;z-index:251672576" o:allowincell="t" filled="t" fillcolor="#ffffff" stroked="t" strokecolor="#0" strokeweight="0,75pt">
                <v:stroke/>
              </v:rect>
            </w:pict>
          </mc:Fallback>
        </mc:AlternateContent>
      </w:r>
      <w:r>
        <w:rPr>
          <w:sz w:val="24"/>
          <w:szCs w:val="24"/>
        </w:rPr>
        <w:t xml:space="preserve">       </w:t>
      </w:r>
    </w:p>
    <w:p>
      <w:pPr>
        <w:ind w:left="142"/>
        <w:rPr>
          <w:b/>
          <w:sz w:val="24"/>
          <w:szCs w:val="24"/>
        </w:rPr>
      </w:pPr>
    </w:p>
    <w:p>
      <w:pPr>
        <w:ind w:left="142" w:firstLine="0"/>
        <w:numPr>
          <w:ilvl w:val="0"/>
          <w:numId w:val="3"/>
        </w:numPr>
        <w:tabs>
          <w:tab w:val="num" w:pos="142"/>
          <w:tab w:val="clear" w:pos="64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Участие в районных ярмарках</w:t>
      </w:r>
    </w:p>
    <w:p>
      <w:pPr>
        <w:ind w:left="426" w:firstLine="28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62336" allowOverlap="1" hidden="0">
                <wp:simplePos x="0" y="0"/>
                <wp:positionH relativeFrom="column">
                  <wp:posOffset>3017023</wp:posOffset>
                </wp:positionH>
                <wp:positionV relativeFrom="paragraph">
                  <wp:posOffset>4390</wp:posOffset>
                </wp:positionV>
                <wp:extent cx="293370" cy="180340"/>
                <wp:effectExtent l="4762" t="4762" r="4762" b="4762"/>
                <wp:wrapNone/>
                <wp:docPr id="1042" name="shape104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2" style="position:absolute;margin-left:237,561pt;margin-top:0,345669pt;width:23,1pt;height:14,2pt;mso-wrap-style:infront;mso-position-horizontal-relative:column;mso-position-vertical-relative:line;v-text-anchor:top;z-index:251662336" o:allowincell="t" filled="t" fillcolor="#ffffff" stroked="t" strokecolor="#0" strokeweight="0,75pt">
                <v:stroke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661312" allowOverlap="1" hidden="0">
                <wp:simplePos x="0" y="0"/>
                <wp:positionH relativeFrom="column">
                  <wp:posOffset>762635</wp:posOffset>
                </wp:positionH>
                <wp:positionV relativeFrom="paragraph">
                  <wp:posOffset>3175</wp:posOffset>
                </wp:positionV>
                <wp:extent cx="374650" cy="180340"/>
                <wp:effectExtent l="4762" t="4762" r="4762" b="4762"/>
                <wp:wrapNone/>
                <wp:docPr id="1043" name="shape104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6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3" style="position:absolute;margin-left:60,05pt;margin-top:0,25pt;width:29,5pt;height:14,2pt;mso-wrap-style:infront;mso-position-horizontal-relative:column;mso-position-vertical-relative:line;v-text-anchor:top;z-index:251661312" o:allowincell="t" filled="t" fillcolor="#ffffff" stroked="t" strokecolor="#0" strokeweight="0,75pt">
                <v:stroke/>
              </v:rect>
            </w:pict>
          </mc:Fallback>
        </mc:AlternateContent>
      </w:r>
      <w:r>
        <w:rPr>
          <w:sz w:val="24"/>
          <w:szCs w:val="24"/>
        </w:rPr>
        <w:t xml:space="preserve">Да                                                      Нет            </w:t>
      </w:r>
    </w:p>
    <w:p>
      <w:pPr>
        <w:ind w:left="708"/>
        <w:rPr>
          <w:b/>
          <w:szCs w:val="28"/>
        </w:rPr>
      </w:pPr>
    </w:p>
    <w:p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Полноту и достоверность сведений, указанных в настоящей карте подтверждаю. Согласен на передачу и обработку персональных данных в соответствии с законодательством Российской Федерации.</w:t>
      </w:r>
    </w:p>
    <w:p>
      <w:pPr>
        <w:rPr>
          <w:b/>
          <w:sz w:val="26"/>
          <w:szCs w:val="26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Гражданин, ведущий личное подсобное хозяйство</w:t>
      </w:r>
    </w:p>
    <w:p>
      <w:pPr>
        <w:rPr>
          <w:b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    ___________________             «_____»____________ 2020 г.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(Ф.И.О.)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b/>
          <w:sz w:val="12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6"/>
          <w:szCs w:val="26"/>
        </w:rPr>
        <w:t>Глава</w:t>
      </w:r>
      <w:r>
        <w:rPr>
          <w:b/>
          <w:sz w:val="28"/>
          <w:szCs w:val="28"/>
        </w:rPr>
        <w:t xml:space="preserve"> ________________________________________________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t>______________</w:t>
      </w:r>
    </w:p>
    <w:p>
      <w:pPr>
        <w:jc w:val="center"/>
        <w:rPr>
          <w:b/>
          <w:sz w:val="22"/>
          <w:szCs w:val="28"/>
        </w:rPr>
      </w:pPr>
      <w:r>
        <w:rPr>
          <w:szCs w:val="24"/>
        </w:rPr>
        <w:t>(наименование поселения)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    ___________________   </w:t>
      </w:r>
    </w:p>
    <w:p>
      <w:pPr>
        <w:rPr>
          <w:sz w:val="24"/>
          <w:szCs w:val="24"/>
        </w:rPr>
      </w:pPr>
      <w:r>
        <w:rPr>
          <w:szCs w:val="24"/>
        </w:rPr>
        <w:t xml:space="preserve">             (подпись)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(Ф.И.О.)</w:t>
      </w:r>
      <w:r>
        <w:rPr>
          <w:sz w:val="24"/>
          <w:szCs w:val="24"/>
        </w:rPr>
        <w:tab/>
      </w:r>
      <w:r>
        <w:rPr>
          <w:sz w:val="24"/>
          <w:szCs w:val="24"/>
        </w:rPr>
        <w:t>М.П.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644"/>
        <w:gridCol w:w="5670"/>
      </w:tblGrid>
      <w:tr>
        <w:tc>
          <w:tcPr>
            <w:tcW w:w="464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2 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Положению о проведении республиканского конкурса «Лучшее личное подсобное хозяйство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Республики Коми» в 2020 году 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Методика о</w:t>
      </w:r>
      <w:r>
        <w:rPr>
          <w:b/>
          <w:bCs/>
          <w:sz w:val="28"/>
          <w:szCs w:val="28"/>
        </w:rPr>
        <w:t xml:space="preserve">пределения победителей республиканского конкурса </w:t>
      </w:r>
    </w:p>
    <w:p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«Лучшее личное подсобное хозяйство Республики Коми» в 2020 году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победителей Конкурса по каждой установленной номинации учитываются общие и дополнительные баллы от наивысшего значения к наименьшему с учетом оценки рассмотрения материалов членами комиссий (видео и фото презентаций ведения хозяйственной деятельности личных подсобных хозяйств)</w:t>
      </w:r>
    </w:p>
    <w:p>
      <w:pPr>
        <w:ind w:firstLine="851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0"/>
        <w:gridCol w:w="2386"/>
      </w:tblGrid>
      <w:tr>
        <w:trPr>
          <w:trHeight w:val="146" w:hRule="atLeast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Общие показатели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spacing w:after="100" w:afterAutospacing="1" w:before="100" w:beforeAutospacing="1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Общие баллы</w:t>
            </w:r>
          </w:p>
        </w:tc>
      </w:tr>
      <w:tr>
        <w:trPr>
          <w:trHeight w:val="146" w:hRule="atLeast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Личные подсобные хозяйства</w:t>
            </w:r>
            <w:r>
              <w:rPr>
                <w:sz w:val="26"/>
                <w:szCs w:val="26"/>
              </w:rPr>
              <w:t xml:space="preserve"> 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основной источник продуктов питания и денежных средств (товарное ЛПХ)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основной источник продуктов питания (на собственное потребление)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>
        <w:trPr>
          <w:trHeight w:val="146" w:hRule="atLeast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Число членов семьи:</w:t>
            </w:r>
          </w:p>
          <w:p>
            <w:pPr>
              <w:ind w:left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1-3 человек</w:t>
            </w:r>
          </w:p>
          <w:p>
            <w:pPr>
              <w:ind w:left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4-6 человек</w:t>
            </w:r>
          </w:p>
          <w:p>
            <w:pPr>
              <w:ind w:left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7  и более человек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>
        <w:trPr>
          <w:trHeight w:val="146" w:hRule="atLeast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Усадьба:</w:t>
            </w:r>
          </w:p>
          <w:p>
            <w:pPr>
              <w:ind w:left="284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кирпичная</w:t>
            </w:r>
          </w:p>
          <w:p>
            <w:pPr>
              <w:ind w:left="284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деревянная</w:t>
            </w:r>
          </w:p>
          <w:p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Наличие: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водопровода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канализации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электричества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rPr>
          <w:trHeight w:val="146" w:hRule="atLeast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Хозяйственные постройки: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помещения для скота больше 20 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>
        <w:trPr>
          <w:trHeight w:val="146" w:hRule="atLeast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/>
              <w:autoSpaceDE w:val="off"/>
              <w:autoSpaceDN w:val="off"/>
              <w:jc w:val="both"/>
              <w:rPr>
                <w:lang w:eastAsia="en-US"/>
                <w:i/>
                <w:sz w:val="26"/>
                <w:szCs w:val="26"/>
              </w:rPr>
            </w:pPr>
            <w:r>
              <w:rPr>
                <w:lang w:eastAsia="en-US"/>
                <w:i/>
                <w:sz w:val="26"/>
                <w:szCs w:val="26"/>
              </w:rPr>
              <w:t>Площадь приусадебного участка, на котором ведется личное подсобное хозяйство:</w:t>
            </w:r>
          </w:p>
          <w:p>
            <w:pPr>
              <w:adjustRightInd/>
              <w:ind w:firstLine="426"/>
              <w:autoSpaceDE w:val="off"/>
              <w:autoSpaceDN w:val="off"/>
              <w:jc w:val="both"/>
              <w:rPr>
                <w:lang w:eastAsia="en-US"/>
                <w:sz w:val="26"/>
                <w:szCs w:val="26"/>
              </w:rPr>
            </w:pPr>
            <w:r>
              <w:rPr>
                <w:lang w:eastAsia="en-US"/>
                <w:sz w:val="26"/>
                <w:szCs w:val="26"/>
              </w:rPr>
              <w:t>от 1 до 10 соток</w:t>
            </w:r>
          </w:p>
          <w:p>
            <w:pPr>
              <w:adjustRightInd/>
              <w:autoSpaceDE w:val="off"/>
              <w:autoSpaceDN w:val="off"/>
              <w:jc w:val="both"/>
              <w:rPr>
                <w:lang w:eastAsia="en-US"/>
                <w:sz w:val="26"/>
                <w:szCs w:val="26"/>
              </w:rPr>
            </w:pPr>
            <w:r>
              <w:rPr>
                <w:lang w:eastAsia="en-US"/>
                <w:sz w:val="26"/>
                <w:szCs w:val="26"/>
              </w:rPr>
              <w:t xml:space="preserve">      от 10,1 до 30 соток</w:t>
            </w:r>
          </w:p>
          <w:p>
            <w:pPr>
              <w:adjustRightInd/>
              <w:ind w:firstLine="426"/>
              <w:autoSpaceDE w:val="off"/>
              <w:autoSpaceDN w:val="off"/>
              <w:jc w:val="both"/>
              <w:rPr>
                <w:lang w:eastAsia="en-US"/>
                <w:sz w:val="26"/>
                <w:szCs w:val="26"/>
              </w:rPr>
            </w:pPr>
            <w:r>
              <w:rPr>
                <w:lang w:eastAsia="en-US"/>
                <w:sz w:val="26"/>
                <w:szCs w:val="26"/>
              </w:rPr>
              <w:t>более 30 соток</w:t>
            </w:r>
          </w:p>
          <w:p>
            <w:pPr>
              <w:adjustRightInd/>
              <w:autoSpaceDE w:val="off"/>
              <w:autoSpaceDN w:val="off"/>
              <w:jc w:val="both"/>
              <w:rPr>
                <w:lang w:eastAsia="en-US"/>
                <w:i/>
                <w:sz w:val="26"/>
                <w:szCs w:val="26"/>
              </w:rPr>
            </w:pPr>
            <w:r>
              <w:rPr>
                <w:lang w:eastAsia="en-US"/>
                <w:i/>
                <w:sz w:val="26"/>
                <w:szCs w:val="26"/>
              </w:rPr>
              <w:t>Наличие полевого земельного участка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/>
              <w:autoSpaceDE w:val="off"/>
              <w:autoSpaceDN w:val="off"/>
              <w:jc w:val="center"/>
              <w:rPr>
                <w:lang w:eastAsia="en-US"/>
                <w:sz w:val="26"/>
                <w:szCs w:val="26"/>
              </w:rPr>
            </w:pPr>
          </w:p>
          <w:p>
            <w:pPr>
              <w:adjustRightInd/>
              <w:autoSpaceDE w:val="off"/>
              <w:autoSpaceDN w:val="off"/>
              <w:jc w:val="center"/>
              <w:rPr>
                <w:lang w:eastAsia="en-US"/>
                <w:sz w:val="26"/>
                <w:szCs w:val="26"/>
              </w:rPr>
            </w:pPr>
          </w:p>
          <w:p>
            <w:pPr>
              <w:adjustRightInd/>
              <w:autoSpaceDE w:val="off"/>
              <w:autoSpaceDN w:val="off"/>
              <w:jc w:val="center"/>
              <w:rPr>
                <w:lang w:eastAsia="en-US"/>
                <w:sz w:val="26"/>
                <w:szCs w:val="26"/>
              </w:rPr>
            </w:pPr>
            <w:r>
              <w:rPr>
                <w:lang w:eastAsia="en-US"/>
                <w:sz w:val="26"/>
                <w:szCs w:val="26"/>
              </w:rPr>
              <w:t>5</w:t>
            </w:r>
          </w:p>
          <w:p>
            <w:pPr>
              <w:adjustRightInd/>
              <w:autoSpaceDE w:val="off"/>
              <w:autoSpaceDN w:val="off"/>
              <w:jc w:val="center"/>
              <w:rPr>
                <w:lang w:eastAsia="en-US"/>
                <w:sz w:val="26"/>
                <w:szCs w:val="26"/>
              </w:rPr>
            </w:pPr>
            <w:r>
              <w:rPr>
                <w:lang w:eastAsia="en-US"/>
                <w:sz w:val="26"/>
                <w:szCs w:val="26"/>
              </w:rPr>
              <w:t>10</w:t>
            </w:r>
          </w:p>
          <w:p>
            <w:pPr>
              <w:adjustRightInd/>
              <w:autoSpaceDE w:val="off"/>
              <w:autoSpaceDN w:val="off"/>
              <w:jc w:val="center"/>
              <w:rPr>
                <w:lang w:eastAsia="en-US"/>
                <w:sz w:val="26"/>
                <w:szCs w:val="26"/>
              </w:rPr>
            </w:pPr>
            <w:r>
              <w:rPr>
                <w:lang w:eastAsia="en-US"/>
                <w:sz w:val="26"/>
                <w:szCs w:val="26"/>
              </w:rPr>
              <w:t>15</w:t>
            </w:r>
          </w:p>
          <w:p>
            <w:pPr>
              <w:adjustRightInd/>
              <w:autoSpaceDE w:val="off"/>
              <w:autoSpaceDN w:val="off"/>
              <w:jc w:val="center"/>
              <w:rPr>
                <w:lang w:eastAsia="en-US"/>
                <w:sz w:val="26"/>
                <w:szCs w:val="26"/>
              </w:rPr>
            </w:pPr>
            <w:r>
              <w:rPr>
                <w:lang w:eastAsia="en-US"/>
                <w:sz w:val="26"/>
                <w:szCs w:val="26"/>
              </w:rPr>
              <w:t>15</w:t>
            </w:r>
          </w:p>
        </w:tc>
      </w:tr>
      <w:tr>
        <w:trPr>
          <w:trHeight w:val="146" w:hRule="atLeast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Членство в сельскохозяйственном потребительском кооперативе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>
        <w:trPr>
          <w:trHeight w:val="146" w:hRule="atLeast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Членство в Ассоциации крестьянских (фермерских) хозяйств и сельскохозяйственных кооперативов в Республике Коми «Фермеры Коми» (АККОР)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>
        <w:trPr>
          <w:trHeight w:val="146" w:hRule="atLeast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Участие в районных ярмарках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>
        <w:trPr>
          <w:trHeight w:val="146" w:hRule="atLeast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Презентационный материал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0-10</w:t>
            </w:r>
          </w:p>
        </w:tc>
      </w:tr>
      <w:tr>
        <w:trPr>
          <w:trHeight w:val="146" w:hRule="atLeast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Оценка членов комиссии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rPr>
          <w:trHeight w:val="146" w:hRule="atLeast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Дополнительные показатели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100" w:afterAutospacing="1" w:before="100" w:beforeAutospacing="1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Дополнительные баллы</w:t>
            </w:r>
          </w:p>
        </w:tc>
      </w:tr>
      <w:tr>
        <w:trPr>
          <w:trHeight w:val="146" w:hRule="atLeast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540"/>
              <w:jc w:val="center"/>
              <w:rPr>
                <w:b/>
                <w:sz w:val="10"/>
                <w:szCs w:val="10"/>
              </w:rPr>
            </w:pPr>
          </w:p>
          <w:p>
            <w:pPr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«Лучшее ЛПХ по производству молока»</w:t>
            </w:r>
          </w:p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rPr>
          <w:trHeight w:val="146" w:hRule="atLeast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Наличие технических средств: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трактор </w:t>
            </w:r>
          </w:p>
          <w:p>
            <w:pPr>
              <w:ind w:right="-108"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косилка</w:t>
            </w:r>
          </w:p>
          <w:p>
            <w:pPr>
              <w:ind w:right="-108"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плуг тракторный</w:t>
            </w:r>
          </w:p>
          <w:p>
            <w:pPr>
              <w:ind w:right="-108"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малогабаритная техника (мотоблок, мотокультиватор и пр.)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 грузовой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 легковой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доильная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других технических средств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rPr>
          <w:trHeight w:val="146" w:hRule="atLeast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Рост поголовья коров к предыдущему периоду </w:t>
            </w:r>
            <w:r>
              <w:rPr>
                <w:lang w:eastAsia="en-US"/>
                <w:i/>
                <w:sz w:val="26"/>
                <w:szCs w:val="26"/>
              </w:rPr>
              <w:t>в пересчете на условную голову &lt;*&gt;</w:t>
            </w:r>
            <w:r>
              <w:rPr>
                <w:i/>
                <w:sz w:val="26"/>
                <w:szCs w:val="26"/>
              </w:rPr>
              <w:t>: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 до 10 %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10,1 до 20 %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20 %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>
        <w:trPr>
          <w:trHeight w:val="146" w:hRule="atLeast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Рост поголовья коз к предыдущему периоду </w:t>
            </w:r>
            <w:r>
              <w:rPr>
                <w:lang w:eastAsia="en-US"/>
                <w:i/>
                <w:sz w:val="26"/>
                <w:szCs w:val="26"/>
              </w:rPr>
              <w:t>в пересчете на условную голову &lt;*&gt;</w:t>
            </w:r>
            <w:r>
              <w:rPr>
                <w:i/>
                <w:sz w:val="26"/>
                <w:szCs w:val="26"/>
              </w:rPr>
              <w:t>: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 до 10 %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10,1 до 20 %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20 %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>
        <w:trPr>
          <w:trHeight w:val="146" w:hRule="atLeast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Увеличение производства продукции животноводства (молока) к предыдущему периоду: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 до 10 %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10,1 до 20 %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20 %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>
        <w:trPr>
          <w:trHeight w:val="146" w:hRule="atLeast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ind w:right="140"/>
              <w:autoSpaceDE w:val="off"/>
              <w:autoSpaceDN w:val="off"/>
              <w:jc w:val="both"/>
              <w:rPr>
                <w:i/>
                <w:sz w:val="26"/>
                <w:szCs w:val="26"/>
              </w:rPr>
            </w:pPr>
            <w:r>
              <w:rPr>
                <w:lang w:eastAsia="en-US"/>
                <w:i/>
                <w:sz w:val="26"/>
                <w:szCs w:val="26"/>
              </w:rPr>
              <w:t>Применение искусственного осеменения коров (нетелей)&lt;**&gt;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>
        <w:trPr>
          <w:trHeight w:val="146" w:hRule="atLeast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540"/>
              <w:jc w:val="center"/>
              <w:rPr>
                <w:b/>
                <w:sz w:val="10"/>
                <w:szCs w:val="10"/>
              </w:rPr>
            </w:pPr>
          </w:p>
          <w:p>
            <w:pPr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«Лучшее ЛПХ по производству мяса»</w:t>
            </w:r>
          </w:p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rPr>
          <w:trHeight w:val="146" w:hRule="atLeast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Наличие технических средств: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трактор </w:t>
            </w:r>
          </w:p>
          <w:p>
            <w:pPr>
              <w:ind w:right="-108"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косилка</w:t>
            </w:r>
          </w:p>
          <w:p>
            <w:pPr>
              <w:ind w:right="-108"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плуг тракторный</w:t>
            </w:r>
          </w:p>
          <w:p>
            <w:pPr>
              <w:ind w:right="-108"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малогабаритная техника (мотоблок, мотокультиватор и пр.)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 грузовой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 легковой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доильная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других технических средств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rPr>
          <w:trHeight w:val="146" w:hRule="atLeast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Рост поголовья сельскохозяйственных животных к предыдущему периоду </w:t>
            </w:r>
            <w:r>
              <w:rPr>
                <w:lang w:eastAsia="en-US"/>
                <w:i/>
                <w:sz w:val="26"/>
                <w:szCs w:val="26"/>
              </w:rPr>
              <w:t>в пересчете на условную голову &lt;*&gt;</w:t>
            </w:r>
            <w:r>
              <w:rPr>
                <w:i/>
                <w:sz w:val="26"/>
                <w:szCs w:val="26"/>
              </w:rPr>
              <w:t>: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 до 10 %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10,1 до 20 %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20 %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>
        <w:trPr>
          <w:trHeight w:val="146" w:hRule="atLeast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i/>
                <w:sz w:val="26"/>
                <w:szCs w:val="26"/>
              </w:rPr>
            </w:pPr>
            <w:r>
              <w:rPr>
                <w:lang w:eastAsia="en-US"/>
                <w:i/>
                <w:sz w:val="26"/>
                <w:szCs w:val="26"/>
              </w:rPr>
              <w:t>Разнообразие скота и птицы на подворье:</w:t>
            </w:r>
          </w:p>
          <w:p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 видов</w:t>
            </w:r>
          </w:p>
          <w:p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4 видов</w:t>
            </w:r>
          </w:p>
          <w:p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5 видов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>
        <w:trPr>
          <w:trHeight w:val="146" w:hRule="atLeast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Увеличение производства продукции животноводства (мяса) к предыдущему периоду: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 до 10 %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10,1 до 20 %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20 %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>
        <w:trPr>
          <w:trHeight w:val="146" w:hRule="atLeast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540"/>
              <w:jc w:val="center"/>
              <w:rPr>
                <w:b/>
                <w:sz w:val="10"/>
                <w:szCs w:val="10"/>
              </w:rPr>
            </w:pPr>
          </w:p>
          <w:p>
            <w:pPr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«Лучшее пчеловодческое ЛПХ»</w:t>
            </w:r>
          </w:p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rPr>
          <w:trHeight w:val="146" w:hRule="atLeast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Рост пчелосемей к предыдущему периоду </w:t>
            </w:r>
            <w:r>
              <w:rPr>
                <w:lang w:eastAsia="en-US"/>
                <w:i/>
                <w:sz w:val="26"/>
                <w:szCs w:val="26"/>
              </w:rPr>
              <w:t>в пересчете на условную голову &lt;*&gt;</w:t>
            </w:r>
            <w:r>
              <w:rPr>
                <w:i/>
                <w:sz w:val="26"/>
                <w:szCs w:val="26"/>
              </w:rPr>
              <w:t>: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 до 10 %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10,1 до 20 %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20 %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>
        <w:trPr>
          <w:trHeight w:val="146" w:hRule="atLeast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Увеличение производства мёда к предыдущему периоду: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 до 10 %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10,1 до 20 %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20 %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>
        <w:trPr>
          <w:trHeight w:val="146" w:hRule="atLeast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="540"/>
              <w:jc w:val="both"/>
              <w:rPr>
                <w:b/>
                <w:sz w:val="10"/>
                <w:szCs w:val="10"/>
              </w:rPr>
            </w:pPr>
          </w:p>
          <w:p>
            <w:pPr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«Лучшее ЛПХ по </w:t>
            </w:r>
            <w:r>
              <w:rPr>
                <w:b/>
                <w:sz w:val="27"/>
                <w:szCs w:val="27"/>
              </w:rPr>
              <w:t>производству продукции растениеводства</w:t>
            </w:r>
            <w:r>
              <w:rPr>
                <w:b/>
                <w:sz w:val="28"/>
                <w:szCs w:val="28"/>
              </w:rPr>
              <w:t>»</w:t>
            </w:r>
          </w:p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rPr>
          <w:trHeight w:val="146" w:hRule="atLeast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Наличие технических средств: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трактор </w:t>
            </w:r>
          </w:p>
          <w:p>
            <w:pPr>
              <w:ind w:right="-108"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косилка</w:t>
            </w:r>
          </w:p>
          <w:p>
            <w:pPr>
              <w:ind w:right="-108"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плуг тракторный</w:t>
            </w:r>
          </w:p>
          <w:p>
            <w:pPr>
              <w:ind w:right="-108"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малогабаритная техника (мотоблок, мотокультиватор и пр.)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 грузовой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 легковой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других технических средств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rPr>
          <w:trHeight w:val="146" w:hRule="atLeast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Увеличение производства продукции растениеводства к предыдущему периоду: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 до 10 %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10,1 до 20 %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20 %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>
        <w:trPr>
          <w:trHeight w:val="146" w:hRule="atLeast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 w:val="10"/>
                <w:szCs w:val="10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«Лучшее ЛПХ «Молодая семья»</w:t>
            </w:r>
          </w:p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rPr>
          <w:trHeight w:val="146" w:hRule="atLeast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Наличие технических средств: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трактор </w:t>
            </w:r>
          </w:p>
          <w:p>
            <w:pPr>
              <w:ind w:right="-108"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косилка</w:t>
            </w:r>
          </w:p>
          <w:p>
            <w:pPr>
              <w:ind w:right="-108"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плуг тракторный</w:t>
            </w:r>
          </w:p>
          <w:p>
            <w:pPr>
              <w:ind w:right="-108"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малогабаритная техника (мотоблок, мотокультиватор и пр.)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 грузовой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 легковой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доильная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других технических средств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rPr>
          <w:trHeight w:val="146" w:hRule="atLeast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Увеличение производства продукции растениеводства к предыдущему периоду: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 до 10 %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10,1 до 20 %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20 %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rPr>
          <w:trHeight w:val="146" w:hRule="atLeast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Рост поголовья сельскохозяйственных животных к предыдущему периоду </w:t>
            </w:r>
            <w:r>
              <w:rPr>
                <w:lang w:eastAsia="en-US"/>
                <w:i/>
                <w:sz w:val="26"/>
                <w:szCs w:val="26"/>
              </w:rPr>
              <w:t>в пересчете на условную голову &lt;*&gt;</w:t>
            </w:r>
            <w:r>
              <w:rPr>
                <w:i/>
                <w:sz w:val="26"/>
                <w:szCs w:val="26"/>
              </w:rPr>
              <w:t>: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 до 10 %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10,1 до 20 %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20 %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>
        <w:trPr>
          <w:trHeight w:val="146" w:hRule="atLeast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i/>
                <w:sz w:val="26"/>
                <w:szCs w:val="26"/>
              </w:rPr>
            </w:pPr>
            <w:r>
              <w:rPr>
                <w:lang w:eastAsia="en-US"/>
                <w:i/>
                <w:sz w:val="26"/>
                <w:szCs w:val="26"/>
              </w:rPr>
              <w:t>Разнообразие скота и птицы на подворье:</w:t>
            </w:r>
          </w:p>
          <w:p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 видов</w:t>
            </w:r>
          </w:p>
          <w:p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4 видов</w:t>
            </w:r>
          </w:p>
          <w:p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5 видов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>
        <w:trPr>
          <w:trHeight w:val="146" w:hRule="atLeast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Увеличение производства продукции животноводства (молока) к предыдущему периоду: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 до 10 %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10,1 до 20 %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20 %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>
        <w:trPr>
          <w:trHeight w:val="146" w:hRule="atLeast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Увеличение производства продукции животноводства (мяса) к предыдущему периоду: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 до 10 %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10,1 до 20 %</w:t>
            </w:r>
          </w:p>
          <w:p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20 %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>
        <w:trPr>
          <w:trHeight w:val="146" w:hRule="atLeast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ind w:right="140"/>
              <w:autoSpaceDE w:val="off"/>
              <w:autoSpaceDN w:val="off"/>
              <w:jc w:val="both"/>
              <w:rPr>
                <w:i/>
                <w:sz w:val="26"/>
                <w:szCs w:val="26"/>
              </w:rPr>
            </w:pPr>
            <w:r>
              <w:rPr>
                <w:lang w:eastAsia="en-US"/>
                <w:i/>
                <w:sz w:val="26"/>
                <w:szCs w:val="26"/>
              </w:rPr>
              <w:t>Применение искусственного осеменения коров (нетелей) &lt;**&gt;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>
        <w:trPr>
          <w:trHeight w:val="146" w:hRule="atLeast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sz w:val="10"/>
                <w:szCs w:val="10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«Самое оригинальное подворье»</w:t>
            </w:r>
          </w:p>
          <w:p>
            <w:pPr>
              <w:jc w:val="center"/>
              <w:rPr>
                <w:b/>
                <w:sz w:val="10"/>
                <w:szCs w:val="10"/>
              </w:rPr>
            </w:pPr>
          </w:p>
        </w:tc>
      </w:tr>
      <w:tr>
        <w:trPr>
          <w:trHeight w:val="316" w:hRule="atLeast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Оформление дворовой территории и хозяйственных построек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0-10</w:t>
            </w:r>
          </w:p>
        </w:tc>
      </w:tr>
      <w:tr>
        <w:trPr>
          <w:trHeight w:val="316" w:hRule="atLeast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i/>
                <w:sz w:val="26"/>
                <w:szCs w:val="26"/>
              </w:rPr>
            </w:pPr>
            <w:r>
              <w:rPr>
                <w:lang w:eastAsia="en-US"/>
                <w:i/>
                <w:sz w:val="26"/>
                <w:szCs w:val="26"/>
              </w:rPr>
              <w:t>Разнообразие скота и птицы на подворье:</w:t>
            </w:r>
          </w:p>
          <w:p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 видов</w:t>
            </w:r>
          </w:p>
          <w:p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4 видов</w:t>
            </w:r>
          </w:p>
          <w:p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5 видов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>
        <w:trPr>
          <w:trHeight w:val="316" w:hRule="atLeast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Разнообразие выращенной растениеводческой продукции</w:t>
            </w:r>
          </w:p>
          <w:p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 видов</w:t>
            </w:r>
          </w:p>
          <w:p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4 видов</w:t>
            </w:r>
          </w:p>
          <w:p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5 видов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>
      <w:pPr>
        <w:adjustRightInd/>
        <w:ind w:right="140" w:firstLine="540"/>
        <w:autoSpaceDE w:val="off"/>
        <w:autoSpaceDN w:val="off"/>
        <w:jc w:val="both"/>
        <w:rPr>
          <w:lang w:eastAsia="en-US"/>
          <w:sz w:val="24"/>
        </w:rPr>
      </w:pPr>
      <w:r>
        <w:rPr>
          <w:lang w:eastAsia="en-US"/>
          <w:sz w:val="24"/>
        </w:rPr>
        <w:t xml:space="preserve">&lt;*&gt; При расчете значения показателя применяются следующие коэффициенты перевода скота и птицы в условные головы: крупный рогатый скот (взрослый) и лошади - 1,0; крупный рогатый скот (молодняк) - 0,6; свиньи - 0,3; пчелосемьи - 0,2; овцы и козы - 0,1; кролики и птица - 0,02. </w:t>
      </w:r>
    </w:p>
    <w:p>
      <w:pPr>
        <w:adjustRightInd/>
        <w:ind w:firstLine="567"/>
        <w:autoSpaceDE w:val="off"/>
        <w:autoSpaceDN w:val="off"/>
        <w:jc w:val="both"/>
        <w:rPr>
          <w:lang w:eastAsia="en-US"/>
          <w:sz w:val="24"/>
          <w:szCs w:val="24"/>
        </w:rPr>
      </w:pPr>
      <w:r>
        <w:rPr>
          <w:lang w:eastAsia="en-US"/>
          <w:sz w:val="24"/>
          <w:szCs w:val="24"/>
        </w:rPr>
        <w:t>&lt;**&gt; На основании справки от организации, осуществившей искусственное осеменение коров (нетелей), принадлежащих ЛПХ.</w:t>
      </w:r>
    </w:p>
    <w:p>
      <w:pPr>
        <w:jc w:val="both"/>
        <w:rPr>
          <w:sz w:val="24"/>
        </w:rPr>
      </w:pPr>
      <w:r>
        <w:rPr>
          <w:sz w:val="28"/>
          <w:szCs w:val="28"/>
        </w:rPr>
        <w:tab/>
      </w:r>
    </w:p>
    <w:p>
      <w:pPr>
        <w:jc w:val="right"/>
        <w:rPr>
          <w:b/>
          <w:sz w:val="28"/>
          <w:szCs w:val="28"/>
        </w:rPr>
        <w:sectPr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165" w:type="dxa"/>
        <w:tblLook w:val="01E0" w:firstRow="1" w:lastRow="1" w:firstColumn="1" w:lastColumn="1" w:noHBand="0" w:noVBand="0"/>
      </w:tblPr>
      <w:tblGrid>
        <w:gridCol w:w="3771"/>
        <w:gridCol w:w="6095"/>
      </w:tblGrid>
      <w:tr>
        <w:tc>
          <w:tcPr>
            <w:tcW w:w="3771" w:type="dxa"/>
          </w:tcPr>
          <w:p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УТВЕРЖДЕН</w:t>
            </w:r>
          </w:p>
          <w:p>
            <w:pPr>
              <w:pStyle w:val="ConsPlusNonformat"/>
              <w:suppressAutoHyphens/>
              <w:jc w:val="righ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сельского хозяйства</w:t>
            </w:r>
          </w:p>
          <w:p>
            <w:pPr>
              <w:pStyle w:val="ConsPlusNonformat"/>
              <w:suppressAutoHyphens/>
              <w:jc w:val="righ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потребительского рынка Республики Коми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  <w:u w:val="single" w:color="auto"/>
              </w:rPr>
              <w:t>6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 w:color="auto"/>
              </w:rPr>
              <w:t>июля</w:t>
            </w:r>
            <w:r>
              <w:rPr>
                <w:sz w:val="28"/>
                <w:szCs w:val="28"/>
              </w:rPr>
              <w:t xml:space="preserve"> 2020 г. № </w:t>
            </w:r>
            <w:r>
              <w:rPr>
                <w:sz w:val="28"/>
                <w:szCs w:val="28"/>
                <w:u w:val="single" w:color="auto"/>
              </w:rPr>
              <w:t>525</w:t>
            </w:r>
            <w:r>
              <w:rPr>
                <w:sz w:val="28"/>
                <w:szCs w:val="28"/>
              </w:rPr>
              <w:t xml:space="preserve">                                                                      (приложение № 2)</w:t>
            </w: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ind w:firstLineChars="225" w:firstLine="6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республиканской конкурсной комиссии</w:t>
      </w:r>
    </w:p>
    <w:p>
      <w:pPr>
        <w:ind w:firstLineChars="225" w:firstLine="6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определения победителей республиканского конкурса</w:t>
      </w:r>
    </w:p>
    <w:p>
      <w:pPr>
        <w:ind w:firstLineChars="225" w:firstLine="6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«Лучшее личное подсобное хозяйство Республики Коми» в 2020 году. </w:t>
      </w:r>
    </w:p>
    <w:p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16"/>
        <w:gridCol w:w="344"/>
        <w:gridCol w:w="7371"/>
      </w:tblGrid>
      <w:tr>
        <w:tc>
          <w:tcPr>
            <w:tcW w:w="2316" w:type="dxa"/>
            <w:hideMark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Князев А.П.</w:t>
            </w:r>
          </w:p>
        </w:tc>
        <w:tc>
          <w:tcPr>
            <w:tcW w:w="344" w:type="dxa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371" w:type="dxa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Правительства Республики Коми – министр сельского хозяйства и потребительского рынка Республики Коми (председатель комиссии);</w:t>
            </w:r>
          </w:p>
          <w:p>
            <w:pPr>
              <w:ind w:left="176" w:hanging="176"/>
              <w:jc w:val="both"/>
              <w:rPr>
                <w:sz w:val="18"/>
                <w:szCs w:val="18"/>
              </w:rPr>
            </w:pPr>
          </w:p>
        </w:tc>
      </w:tr>
      <w:tr>
        <w:trPr>
          <w:trHeight w:val="483" w:hRule="atLeast"/>
        </w:trPr>
        <w:tc>
          <w:tcPr>
            <w:tcW w:w="2316" w:type="dxa"/>
            <w:hideMark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Бабина О.В.</w:t>
            </w:r>
          </w:p>
        </w:tc>
        <w:tc>
          <w:tcPr>
            <w:tcW w:w="344" w:type="dxa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371" w:type="dxa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министра сельского хозяйства и потребительского рынка Республики Коми (заместитель председателя комиссии);</w:t>
            </w:r>
          </w:p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483" w:hRule="atLeast"/>
        </w:trPr>
        <w:tc>
          <w:tcPr>
            <w:tcW w:w="231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Паспеков Д.И.</w:t>
            </w:r>
          </w:p>
        </w:tc>
        <w:tc>
          <w:tcPr>
            <w:tcW w:w="344" w:type="dxa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371" w:type="dxa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министра сельского хозяйства и потребительского рынка Республики Коми</w:t>
            </w:r>
          </w:p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rPr>
          <w:trHeight w:val="483" w:hRule="atLeast"/>
        </w:trPr>
        <w:tc>
          <w:tcPr>
            <w:tcW w:w="231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Суворов И.А.</w:t>
            </w:r>
          </w:p>
        </w:tc>
        <w:tc>
          <w:tcPr>
            <w:tcW w:w="344" w:type="dxa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371" w:type="dxa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министра сельского хозяйства и потребительского рынка Республики Коми</w:t>
            </w:r>
          </w:p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rPr>
          <w:trHeight w:val="1062" w:hRule="atLeast"/>
        </w:trPr>
        <w:tc>
          <w:tcPr>
            <w:tcW w:w="231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Косолапова Т.С.  </w:t>
            </w:r>
          </w:p>
        </w:tc>
        <w:tc>
          <w:tcPr>
            <w:tcW w:w="344" w:type="dxa"/>
          </w:tcPr>
          <w:p>
            <w:pPr>
              <w:ind w:left="34" w:hanging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371" w:type="dxa"/>
          </w:tcPr>
          <w:p>
            <w:pPr>
              <w:ind w:left="34" w:hanging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специалист-эксперт отдела развития малых форм хозяйствования и кооперации Минсельхоза Республики Коми (секретарь комиссии);</w:t>
            </w:r>
          </w:p>
          <w:p>
            <w:pPr>
              <w:ind w:left="176" w:hanging="176"/>
              <w:jc w:val="both"/>
              <w:rPr>
                <w:sz w:val="18"/>
                <w:szCs w:val="18"/>
              </w:rPr>
            </w:pPr>
          </w:p>
        </w:tc>
      </w:tr>
      <w:tr>
        <w:trPr>
          <w:trHeight w:val="836" w:hRule="atLeast"/>
        </w:trPr>
        <w:tc>
          <w:tcPr>
            <w:tcW w:w="231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Колбасюк Н.П.</w:t>
            </w:r>
          </w:p>
        </w:tc>
        <w:tc>
          <w:tcPr>
            <w:tcW w:w="344" w:type="dxa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371" w:type="dxa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ГУ РК «Центр господдержки АПК и рыбного хозяйства РК»;</w:t>
            </w:r>
          </w:p>
        </w:tc>
      </w:tr>
      <w:tr>
        <w:trPr>
          <w:trHeight w:val="1062" w:hRule="atLeast"/>
        </w:trPr>
        <w:tc>
          <w:tcPr>
            <w:tcW w:w="231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Кирияк Е.Г.</w:t>
            </w:r>
          </w:p>
        </w:tc>
        <w:tc>
          <w:tcPr>
            <w:tcW w:w="344" w:type="dxa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371" w:type="dxa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 ГУ РК «Центр господдержки АПК и рыбного хозяйства РК» - начальник отдела Центра компетенций в сфере сельскохозяйственной кооперации и поддержки фермеров Республики Коми (по согласованию);</w:t>
            </w:r>
          </w:p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rPr>
          <w:trHeight w:val="622" w:hRule="atLeast"/>
        </w:trPr>
        <w:tc>
          <w:tcPr>
            <w:tcW w:w="231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Андарьянов И.М.</w:t>
            </w:r>
          </w:p>
        </w:tc>
        <w:tc>
          <w:tcPr>
            <w:tcW w:w="344" w:type="dxa"/>
          </w:tcPr>
          <w:p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371" w:type="dxa"/>
          </w:tcPr>
          <w:p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растениеводства и технической политики Минсельхоза Республики Коми;</w:t>
            </w:r>
          </w:p>
          <w:p>
            <w:pPr>
              <w:ind w:left="34"/>
              <w:jc w:val="both"/>
              <w:rPr>
                <w:sz w:val="18"/>
                <w:szCs w:val="18"/>
              </w:rPr>
            </w:pPr>
          </w:p>
        </w:tc>
      </w:tr>
      <w:tr>
        <w:trPr>
          <w:trHeight w:val="1062" w:hRule="atLeast"/>
        </w:trPr>
        <w:tc>
          <w:tcPr>
            <w:tcW w:w="231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Голышева П.В.</w:t>
            </w:r>
          </w:p>
        </w:tc>
        <w:tc>
          <w:tcPr>
            <w:tcW w:w="344" w:type="dxa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371" w:type="dxa"/>
          </w:tcPr>
          <w:p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информационного обеспечения и технической защиты информации Минсельхоза Республики Коми;</w:t>
            </w:r>
          </w:p>
          <w:p>
            <w:pPr>
              <w:ind w:left="34"/>
              <w:jc w:val="both"/>
              <w:rPr>
                <w:color w:val="FF0000"/>
                <w:sz w:val="18"/>
                <w:szCs w:val="18"/>
              </w:rPr>
            </w:pPr>
          </w:p>
        </w:tc>
      </w:tr>
      <w:tr>
        <w:trPr>
          <w:trHeight w:val="665" w:hRule="atLeast"/>
        </w:trPr>
        <w:tc>
          <w:tcPr>
            <w:tcW w:w="231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Лобов Д.В.</w:t>
            </w:r>
          </w:p>
        </w:tc>
        <w:tc>
          <w:tcPr>
            <w:tcW w:w="344" w:type="dxa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371" w:type="dxa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животноводства, аквакультуры и племенной работы Минсельхоза Республики Коми;</w:t>
            </w:r>
          </w:p>
          <w:p>
            <w:pPr>
              <w:jc w:val="both"/>
              <w:rPr>
                <w:sz w:val="18"/>
                <w:szCs w:val="18"/>
              </w:rPr>
            </w:pPr>
          </w:p>
        </w:tc>
      </w:tr>
      <w:tr>
        <w:tc>
          <w:tcPr>
            <w:tcW w:w="231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Семенчин С.И.</w:t>
            </w:r>
          </w:p>
        </w:tc>
        <w:tc>
          <w:tcPr>
            <w:tcW w:w="344" w:type="dxa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  <w:tc>
          <w:tcPr>
            <w:tcW w:w="7371" w:type="dxa"/>
          </w:tcPr>
          <w:p>
            <w:pPr>
              <w:pStyle w:val="41"/>
              <w:jc w:val="both"/>
              <w:tabs>
                <w:tab w:val="left" w:pos="7121"/>
                <w:tab w:val="left" w:pos="7155"/>
              </w:tabs>
              <w:rPr>
                <w:bCs/>
                <w:i w:val="0"/>
                <w:color w:val="00000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старший преподаватель, доцент </w:t>
            </w:r>
            <w:r>
              <w:rPr>
                <w:bCs/>
                <w:i w:val="0"/>
                <w:color w:val="000000"/>
                <w:sz w:val="26"/>
                <w:szCs w:val="26"/>
              </w:rPr>
              <w:t>ФГБОУ ДПО «Институт     переподготовки и повышения квалификации работников агропромышленного комплекса Республики Коми» (по согласованию);</w:t>
            </w:r>
          </w:p>
          <w:p>
            <w:pPr>
              <w:rPr>
                <w:sz w:val="18"/>
                <w:szCs w:val="18"/>
              </w:rPr>
            </w:pPr>
          </w:p>
        </w:tc>
      </w:tr>
    </w:tbl>
    <w:p/>
    <w:sect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43" w:usb2="00000009" w:usb3="00000001" w:csb0="400001FF" w:csb1="FFFF0000"/>
  </w:font>
  <w:font w:name="Calibri">
    <w:panose1 w:val="020F0502020204030204"/>
    <w:family w:val="swiss"/>
    <w:charset w:val="cc"/>
    <w:notTrueType w:val="true"/>
    <w:sig w:usb0="E00002FF" w:usb1="4000ACFF" w:usb2="00000001" w:usb3="00000001" w:csb0="2000019F" w:csb1="00000001"/>
  </w:font>
  <w:font w:name="Courier New">
    <w:panose1 w:val="02070309020205020404"/>
    <w:family w:val="modern"/>
    <w:charset w:val="cc"/>
    <w:notTrueType w:val="true"/>
    <w:sig w:usb0="E0002AFF" w:usb1="C0007843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eb74f53"/>
    <w:multiLevelType w:val="hybridMultilevel"/>
    <w:tmpl w:val="b14e8374"/>
    <w:lvl w:ilvl="0" w:tplc="66183188">
      <w:start w:val="1"/>
      <w:numFmt w:val="upperRoman"/>
      <w:lvlText w:val="%1."/>
      <w:lvlJc w:val="left"/>
      <w:pPr>
        <w:ind w:left="1080" w:hanging="720"/>
      </w:pPr>
    </w:lvl>
    <w:lvl w:ilvl="1" w:tplc="4190019">
      <w:start w:val="1"/>
      <w:numFmt w:val="lowerLetter"/>
      <w:lvlText w:val="%2."/>
      <w:lvlJc w:val="left"/>
      <w:pPr>
        <w:ind w:left="1440" w:hanging="360"/>
      </w:pPr>
    </w:lvl>
    <w:lvl w:ilvl="2" w:tplc="419001b">
      <w:start w:val="1"/>
      <w:numFmt w:val="lowerRoman"/>
      <w:lvlText w:val="%3."/>
      <w:lvlJc w:val="right"/>
      <w:pPr>
        <w:ind w:left="2160" w:hanging="180"/>
      </w:pPr>
    </w:lvl>
    <w:lvl w:ilvl="3" w:tplc="419000f">
      <w:start w:val="1"/>
      <w:lvlText w:val="%4."/>
      <w:lvlJc w:val="left"/>
      <w:pPr>
        <w:ind w:left="2880" w:hanging="360"/>
      </w:pPr>
    </w:lvl>
    <w:lvl w:ilvl="4" w:tplc="4190019">
      <w:start w:val="1"/>
      <w:numFmt w:val="lowerLetter"/>
      <w:lvlText w:val="%5."/>
      <w:lvlJc w:val="left"/>
      <w:pPr>
        <w:ind w:left="3600" w:hanging="360"/>
      </w:pPr>
    </w:lvl>
    <w:lvl w:ilvl="5" w:tplc="419001b">
      <w:start w:val="1"/>
      <w:numFmt w:val="lowerRoman"/>
      <w:lvlText w:val="%6."/>
      <w:lvlJc w:val="right"/>
      <w:pPr>
        <w:ind w:left="4320" w:hanging="180"/>
      </w:pPr>
    </w:lvl>
    <w:lvl w:ilvl="6" w:tplc="419000f">
      <w:start w:val="1"/>
      <w:lvlText w:val="%7."/>
      <w:lvlJc w:val="left"/>
      <w:pPr>
        <w:ind w:left="5040" w:hanging="360"/>
      </w:pPr>
    </w:lvl>
    <w:lvl w:ilvl="7" w:tplc="4190019">
      <w:start w:val="1"/>
      <w:numFmt w:val="lowerLetter"/>
      <w:lvlText w:val="%8."/>
      <w:lvlJc w:val="left"/>
      <w:pPr>
        <w:ind w:left="5760" w:hanging="360"/>
      </w:pPr>
    </w:lvl>
    <w:lvl w:ilvl="8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35db0"/>
    <w:multiLevelType w:val="hybridMultilevel"/>
    <w:tmpl w:val="fbc41dca"/>
    <w:lvl w:ilvl="0" w:tplc="419000f">
      <w:start w:val="1"/>
      <w:lvlText w:val="%1."/>
      <w:lvlJc w:val="left"/>
      <w:pPr>
        <w:ind w:left="720" w:hanging="360"/>
        <w:tabs>
          <w:tab w:val="num" w:pos="720"/>
        </w:tabs>
      </w:pPr>
    </w:lvl>
    <w:lvl w:ilvl="1" w:tentative="on" w:tplc="4190019">
      <w:start w:val="1"/>
      <w:numFmt w:val="lowerLetter"/>
      <w:lvlText w:val="%2."/>
      <w:lvlJc w:val="left"/>
      <w:pPr>
        <w:ind w:left="1440" w:hanging="360"/>
        <w:tabs>
          <w:tab w:val="num" w:pos="1440"/>
        </w:tabs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  <w:tabs>
          <w:tab w:val="num" w:pos="2160"/>
        </w:tabs>
      </w:pPr>
    </w:lvl>
    <w:lvl w:ilvl="3" w:tentative="on" w:tplc="419000f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  <w:tabs>
          <w:tab w:val="num" w:pos="3600"/>
        </w:tabs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  <w:tabs>
          <w:tab w:val="num" w:pos="4320"/>
        </w:tabs>
      </w:pPr>
    </w:lvl>
    <w:lvl w:ilvl="6" w:tentative="on" w:tplc="419000f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  <w:tabs>
          <w:tab w:val="num" w:pos="5760"/>
        </w:tabs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  <w:tabs>
          <w:tab w:val="num" w:pos="6480"/>
        </w:tabs>
      </w:pPr>
    </w:lvl>
  </w:abstractNum>
  <w:abstractNum w:abstractNumId="2">
    <w:nsid w:val="532e4cf5"/>
    <w:multiLevelType w:val="hybridMultilevel"/>
    <w:tmpl w:val="e2264cf6"/>
    <w:lvl w:ilvl="0" w:tplc="419000f">
      <w:start w:val="10"/>
      <w:lvlText w:val="%1."/>
      <w:lvlJc w:val="left"/>
      <w:pPr>
        <w:ind w:left="644" w:hanging="360"/>
        <w:tabs>
          <w:tab w:val="num" w:pos="644"/>
        </w:tabs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364" w:hanging="360"/>
        <w:tabs>
          <w:tab w:val="num" w:pos="1364"/>
        </w:tabs>
      </w:pPr>
    </w:lvl>
    <w:lvl w:ilvl="2" w:tentative="on" w:tplc="419001b">
      <w:start w:val="1"/>
      <w:numFmt w:val="lowerRoman"/>
      <w:lvlText w:val="%3."/>
      <w:lvlJc w:val="right"/>
      <w:pPr>
        <w:ind w:left="2084" w:hanging="180"/>
        <w:tabs>
          <w:tab w:val="num" w:pos="2084"/>
        </w:tabs>
      </w:pPr>
    </w:lvl>
    <w:lvl w:ilvl="3" w:tentative="on" w:tplc="419000f">
      <w:start w:val="1"/>
      <w:lvlText w:val="%4."/>
      <w:lvlJc w:val="left"/>
      <w:pPr>
        <w:ind w:left="2804" w:hanging="360"/>
        <w:tabs>
          <w:tab w:val="num" w:pos="2804"/>
        </w:tabs>
      </w:pPr>
    </w:lvl>
    <w:lvl w:ilvl="4" w:tentative="on" w:tplc="4190019">
      <w:start w:val="1"/>
      <w:numFmt w:val="lowerLetter"/>
      <w:lvlText w:val="%5."/>
      <w:lvlJc w:val="left"/>
      <w:pPr>
        <w:ind w:left="3524" w:hanging="360"/>
        <w:tabs>
          <w:tab w:val="num" w:pos="3524"/>
        </w:tabs>
      </w:pPr>
    </w:lvl>
    <w:lvl w:ilvl="5" w:tentative="on" w:tplc="419001b">
      <w:start w:val="1"/>
      <w:numFmt w:val="lowerRoman"/>
      <w:lvlText w:val="%6."/>
      <w:lvlJc w:val="right"/>
      <w:pPr>
        <w:ind w:left="4244" w:hanging="180"/>
        <w:tabs>
          <w:tab w:val="num" w:pos="4244"/>
        </w:tabs>
      </w:pPr>
    </w:lvl>
    <w:lvl w:ilvl="6" w:tentative="on" w:tplc="419000f">
      <w:start w:val="1"/>
      <w:lvlText w:val="%7."/>
      <w:lvlJc w:val="left"/>
      <w:pPr>
        <w:ind w:left="4964" w:hanging="360"/>
        <w:tabs>
          <w:tab w:val="num" w:pos="4964"/>
        </w:tabs>
      </w:pPr>
    </w:lvl>
    <w:lvl w:ilvl="7" w:tentative="on" w:tplc="4190019">
      <w:start w:val="1"/>
      <w:numFmt w:val="lowerLetter"/>
      <w:lvlText w:val="%8."/>
      <w:lvlJc w:val="left"/>
      <w:pPr>
        <w:ind w:left="5684" w:hanging="360"/>
        <w:tabs>
          <w:tab w:val="num" w:pos="5684"/>
        </w:tabs>
      </w:pPr>
    </w:lvl>
    <w:lvl w:ilvl="8" w:tentative="on" w:tplc="419001b">
      <w:start w:val="1"/>
      <w:numFmt w:val="lowerRoman"/>
      <w:lvlText w:val="%9."/>
      <w:lvlJc w:val="right"/>
      <w:pPr>
        <w:ind w:left="6404" w:hanging="180"/>
        <w:tabs>
          <w:tab w:val="num" w:pos="6404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22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="Times New Roman" w:eastAsia="Times New Roman" w:hAnsi="Times New Roman" w:cs="Times New Roman"/>
      </w:rPr>
    </w:rPrDefault>
    <w:pPrDefault>
      <w:pPr/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7">
    <w:name w:val="Название Знак"/>
    <w:link w:val="Title"/>
    <w:rPr>
      <w:b/>
      <w:sz w:val="24"/>
    </w:rPr>
  </w:style>
  <w:style w:type="paragraph" w:styleId="41">
    <w:name w:val="heading 4"/>
    <w:basedOn w:val="a1"/>
    <w:next w:val="a1"/>
    <w:qFormat/>
    <w:pPr>
      <w:keepNext/>
      <w:outlineLvl w:val="3"/>
      <w:jc w:val="right"/>
    </w:pPr>
    <w:rPr>
      <w:i/>
      <w:sz w:val="24"/>
    </w:rPr>
  </w:style>
  <w:style w:type="paragraph" w:styleId="a6">
    <w:name w:val="Title"/>
    <w:basedOn w:val="a1"/>
    <w:link w:val="Название Знак"/>
    <w:qFormat/>
    <w:pPr>
      <w:jc w:val="center"/>
    </w:pPr>
    <w:rPr>
      <w:b/>
      <w:sz w:val="24"/>
    </w:rPr>
  </w:style>
  <w:style w:type="paragraph" w:styleId="af3">
    <w:name w:val="List Paragraph"/>
    <w:basedOn w:val="a1"/>
    <w:qFormat/>
    <w:pPr>
      <w:ind w:left="720"/>
      <w:contextualSpacing/>
      <w:spacing w:after="200" w:line="276" w:lineRule="auto"/>
    </w:pPr>
    <w:rPr>
      <w:lang w:eastAsia="en-US"/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adjustRightInd/>
      <w:autoSpaceDE w:val="off"/>
      <w:autoSpaceDN w:val="off"/>
      <w:widowControl w:val="off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Минсельхозпрод РК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рождественская</dc:creator>
  <cp:keywords/>
  <dc:description/>
  <cp:lastModifiedBy>AcEr</cp:lastModifiedBy>
  <cp:revision>1</cp:revision>
  <dcterms:created xsi:type="dcterms:W3CDTF">2020-07-13T06:36:00Z</dcterms:created>
  <dcterms:modified xsi:type="dcterms:W3CDTF">2020-07-14T09:13:20Z</dcterms:modified>
  <cp:lastPrinted>2020-07-06T12:56:00Z</cp:lastPrinted>
  <cp:version>0900.0000.01</cp:version>
</cp:coreProperties>
</file>