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79" w:type="dxa"/>
        <w:tblInd w:w="93" w:type="dxa"/>
        <w:tblLook w:val="04A0"/>
      </w:tblPr>
      <w:tblGrid>
        <w:gridCol w:w="2365"/>
        <w:gridCol w:w="630"/>
        <w:gridCol w:w="136"/>
        <w:gridCol w:w="506"/>
        <w:gridCol w:w="875"/>
        <w:gridCol w:w="221"/>
        <w:gridCol w:w="846"/>
        <w:gridCol w:w="4501"/>
        <w:gridCol w:w="729"/>
        <w:gridCol w:w="1996"/>
        <w:gridCol w:w="1209"/>
        <w:gridCol w:w="894"/>
        <w:gridCol w:w="236"/>
        <w:gridCol w:w="5535"/>
      </w:tblGrid>
      <w:tr w:rsidR="002E2229" w:rsidRPr="002E2229" w:rsidTr="000B61AA">
        <w:trPr>
          <w:gridAfter w:val="5"/>
          <w:wAfter w:w="9870" w:type="dxa"/>
          <w:trHeight w:val="450"/>
        </w:trPr>
        <w:tc>
          <w:tcPr>
            <w:tcW w:w="10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2229" w:rsidRDefault="002E2229" w:rsidP="002E222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8720" w:type="dxa"/>
              <w:tblInd w:w="616" w:type="dxa"/>
              <w:tblLook w:val="04A0"/>
            </w:tblPr>
            <w:tblGrid>
              <w:gridCol w:w="2256"/>
              <w:gridCol w:w="6464"/>
            </w:tblGrid>
            <w:tr w:rsidR="00D75DF3" w:rsidRPr="00D75DF3" w:rsidTr="00CD1961">
              <w:trPr>
                <w:trHeight w:val="300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0</wp:posOffset>
                        </wp:positionV>
                        <wp:extent cx="1200150" cy="1704975"/>
                        <wp:effectExtent l="0" t="0" r="0" b="0"/>
                        <wp:wrapNone/>
                        <wp:docPr id="14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Эмблема Теплосервис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40"/>
                  </w:tblGrid>
                  <w:tr w:rsidR="00D75DF3" w:rsidRPr="00D75DF3">
                    <w:trPr>
                      <w:trHeight w:val="300"/>
                      <w:tblCellSpacing w:w="0" w:type="dxa"/>
                    </w:trPr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5DF3" w:rsidRPr="00D75DF3" w:rsidRDefault="00D75DF3" w:rsidP="00D75DF3">
                        <w:pPr>
                          <w:spacing w:line="240" w:lineRule="auto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bookmarkStart w:id="0" w:name="RANGE!A1:B28"/>
                        <w:bookmarkEnd w:id="0"/>
                      </w:p>
                    </w:tc>
                  </w:tr>
                </w:tbl>
                <w:p w:rsidR="00D75DF3" w:rsidRPr="00D75DF3" w:rsidRDefault="00D75DF3" w:rsidP="00D75DF3">
                  <w:pPr>
                    <w:spacing w:line="240" w:lineRule="auto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75DF3" w:rsidRPr="00D75DF3" w:rsidTr="00CD1961">
              <w:trPr>
                <w:trHeight w:val="570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Общество с ограниченной ответственностью «Теплосервис»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ОГРН 105110823608 ИНН 1108015607 / КПП 110801001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169523, Республика Коми, Сосногорский район, г.п. Нижний Одес,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ул. Транспортная-9,  (тел/факс) (82149) 20919, 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A928C4" w:rsidP="00D75DF3">
                  <w:pPr>
                    <w:spacing w:line="240" w:lineRule="auto"/>
                    <w:rPr>
                      <w:color w:val="0000FF"/>
                      <w:sz w:val="22"/>
                      <w:szCs w:val="22"/>
                      <w:u w:val="single"/>
                    </w:rPr>
                  </w:pPr>
                  <w:hyperlink r:id="rId5" w:history="1">
                    <w:r w:rsidR="00D75DF3" w:rsidRPr="00D75DF3">
                      <w:rPr>
                        <w:color w:val="0000FF"/>
                        <w:sz w:val="22"/>
                        <w:u w:val="single"/>
                      </w:rPr>
                      <w:t xml:space="preserve">www.ts-odes.ru, </w:t>
                    </w:r>
                    <w:proofErr w:type="spellStart"/>
                    <w:r w:rsidR="00D75DF3" w:rsidRPr="00D75DF3">
                      <w:rPr>
                        <w:color w:val="0000FF"/>
                        <w:sz w:val="22"/>
                        <w:u w:val="single"/>
                      </w:rPr>
                      <w:t>e-mail:teploservis@ts-odes.ru</w:t>
                    </w:r>
                    <w:proofErr w:type="spellEnd"/>
                  </w:hyperlink>
                </w:p>
              </w:tc>
            </w:tr>
            <w:tr w:rsidR="00D75DF3" w:rsidRPr="00D75DF3" w:rsidTr="00CD1961">
              <w:trPr>
                <w:trHeight w:val="360"/>
              </w:trPr>
              <w:tc>
                <w:tcPr>
                  <w:tcW w:w="2256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64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75DF3" w:rsidRPr="00D75DF3" w:rsidTr="00CD1961">
              <w:trPr>
                <w:trHeight w:val="165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СТАНДАРТ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раскрытия информации ООО «Теплосервис»</w:t>
                  </w:r>
                </w:p>
              </w:tc>
            </w:tr>
            <w:tr w:rsidR="00D75DF3" w:rsidRPr="00D75DF3" w:rsidTr="00CD1961">
              <w:trPr>
                <w:trHeight w:val="315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 осуществлению деятельности в сфере оказания услуг по производству и реализации тепловой энергии и горячего водоснабжения</w:t>
                  </w:r>
                </w:p>
              </w:tc>
            </w:tr>
            <w:tr w:rsidR="00D75DF3" w:rsidRPr="00D75DF3" w:rsidTr="00CD1961">
              <w:trPr>
                <w:trHeight w:val="315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</w:pPr>
                  <w:r w:rsidRPr="00D75DF3">
                    <w:rPr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  <w:t>за 2013 год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D1961" w:rsidRDefault="00D75DF3" w:rsidP="00CD1961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(в соответствии с  Постановлени</w:t>
                  </w:r>
                  <w:r w:rsidR="00CD1961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ями </w:t>
                  </w:r>
                  <w:r w:rsidRPr="00D75DF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 Правительства Российской Федерации </w:t>
                  </w:r>
                </w:p>
                <w:p w:rsidR="00D75DF3" w:rsidRPr="00D75DF3" w:rsidRDefault="00D75DF3" w:rsidP="00CD1961">
                  <w:pPr>
                    <w:spacing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от 08.07.2013 г. № 570</w:t>
                  </w:r>
                  <w:r w:rsidR="00CD1961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, от 17.01.2013 г. № 6</w:t>
                  </w:r>
                  <w:r w:rsidRPr="00D75DF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)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Информация размещена на сайте Службы Республики Коми по тарифам  </w:t>
                  </w: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  <w:u w:val="single"/>
                    </w:rPr>
                    <w:t>post@komirec.ru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  <w:u w:val="single"/>
                    </w:rPr>
                    <w:t xml:space="preserve">; </w:t>
                  </w: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  <w:u w:val="single"/>
                    </w:rPr>
                    <w:t>www.ts-odes.ru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  <w:u w:val="single"/>
                    </w:rPr>
                    <w:t>; www.нижний одес.рф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75DF3" w:rsidRPr="00D75DF3" w:rsidTr="00CD1961">
              <w:trPr>
                <w:trHeight w:val="615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фирменное наименование юридического лица</w:t>
                  </w: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: Общество с ограниченной ответственностью  «Теплосервис»  </w:t>
                  </w:r>
                </w:p>
              </w:tc>
            </w:tr>
            <w:tr w:rsidR="00D75DF3" w:rsidRPr="00D75DF3" w:rsidTr="00CD1961">
              <w:trPr>
                <w:trHeight w:val="615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реквизиты свидетельства о государственной регистрации: </w:t>
                  </w:r>
                  <w:r w:rsidRPr="00D75DF3">
                    <w:rPr>
                      <w:color w:val="000000"/>
                      <w:sz w:val="22"/>
                      <w:szCs w:val="22"/>
                    </w:rPr>
                    <w:t>Серия 11 № 000839197 от 26.07.2005 г. России № 4 по РК</w:t>
                  </w:r>
                </w:p>
              </w:tc>
            </w:tr>
            <w:tr w:rsidR="00D75DF3" w:rsidRPr="00D75DF3" w:rsidTr="00CD1961">
              <w:trPr>
                <w:trHeight w:val="6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юридический адрес:</w:t>
                  </w: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 169523, Республика Коми, Сосногорский район, </w:t>
                  </w: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</w:rPr>
                    <w:t>гп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</w:rPr>
                    <w:t>. Нижний Одес, ул. Транспортная 9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контактные телефоны: </w:t>
                  </w:r>
                  <w:r w:rsidRPr="00D75DF3">
                    <w:rPr>
                      <w:color w:val="000000"/>
                      <w:sz w:val="22"/>
                      <w:szCs w:val="22"/>
                    </w:rPr>
                    <w:t>приемная (тел/факс): 8 (82149) 20919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 xml:space="preserve">прием по личным вопросам: </w:t>
                  </w:r>
                  <w:r w:rsidRPr="00D75DF3">
                    <w:rPr>
                      <w:color w:val="000000"/>
                      <w:sz w:val="22"/>
                      <w:szCs w:val="22"/>
                    </w:rPr>
                    <w:t>четверг с 15.00 ч до 17.00 ч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both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режим работы ООО "Теплосервис":</w:t>
                  </w:r>
                  <w:r w:rsidRPr="00D75DF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понедельник-пятница: с 8.00 ч до 17.00 ч 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перерыв на обед с 12.00 ч до 13.00 ч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директор предприятия</w:t>
                  </w:r>
                  <w:r w:rsidRPr="00D75DF3">
                    <w:rPr>
                      <w:color w:val="000000"/>
                      <w:sz w:val="22"/>
                      <w:szCs w:val="22"/>
                    </w:rPr>
                    <w:t>: Милевская Лариса Павловна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режим работы диспетчерской службы: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круглосуточно; без выходных</w:t>
                  </w:r>
                </w:p>
              </w:tc>
            </w:tr>
            <w:tr w:rsidR="00D75DF3" w:rsidRPr="00D75DF3" w:rsidTr="00CD1961">
              <w:trPr>
                <w:trHeight w:val="300"/>
              </w:trPr>
              <w:tc>
                <w:tcPr>
                  <w:tcW w:w="8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тел:8 (82149) 2-23-33</w:t>
                  </w:r>
                </w:p>
              </w:tc>
            </w:tr>
          </w:tbl>
          <w:p w:rsidR="002E2229" w:rsidRDefault="002E2229" w:rsidP="002E222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0121" w:type="dxa"/>
              <w:tblLook w:val="04A0"/>
            </w:tblPr>
            <w:tblGrid>
              <w:gridCol w:w="4018"/>
              <w:gridCol w:w="1418"/>
              <w:gridCol w:w="425"/>
              <w:gridCol w:w="709"/>
              <w:gridCol w:w="804"/>
              <w:gridCol w:w="448"/>
              <w:gridCol w:w="338"/>
              <w:gridCol w:w="1386"/>
              <w:gridCol w:w="567"/>
              <w:gridCol w:w="8"/>
            </w:tblGrid>
            <w:tr w:rsidR="00D75DF3" w:rsidRPr="00D75DF3" w:rsidTr="00F17E59">
              <w:trPr>
                <w:trHeight w:val="450"/>
              </w:trPr>
              <w:tc>
                <w:tcPr>
                  <w:tcW w:w="1012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Default="00D75DF3" w:rsidP="00D75DF3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RANGE!A1:C49"/>
                </w:p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Информация о тарифах и надбавках к тарифам ООО "Теплосервис" </w:t>
                  </w:r>
                  <w:bookmarkEnd w:id="1"/>
                </w:p>
              </w:tc>
            </w:tr>
            <w:tr w:rsidR="00D75DF3" w:rsidRPr="00D75DF3" w:rsidTr="00F17E59">
              <w:trPr>
                <w:trHeight w:val="300"/>
              </w:trPr>
              <w:tc>
                <w:tcPr>
                  <w:tcW w:w="737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1155"/>
              </w:trPr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Атрибуты решения по принятому тарифу (наименование, дата, номер)</w:t>
                  </w:r>
                </w:p>
              </w:tc>
              <w:tc>
                <w:tcPr>
                  <w:tcW w:w="55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Приказ Службы Республики Коми по тарифам от 26 ноября 2012 года № 95/12 "О тарифах на тепловую энергию и теплоноситель, поставляемые ООО "Теплосервис" потребителям муниципального образования муниципального района «Сосногорск» Республики Коми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600"/>
              </w:trPr>
              <w:tc>
                <w:tcPr>
                  <w:tcW w:w="4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Наименование регулирующего органа, принявшего решение</w:t>
                  </w:r>
                </w:p>
              </w:tc>
              <w:tc>
                <w:tcPr>
                  <w:tcW w:w="55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Служба Республики Коми по тарифам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4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Период действия принятого тарифа</w:t>
                  </w:r>
                </w:p>
              </w:tc>
              <w:tc>
                <w:tcPr>
                  <w:tcW w:w="55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с 01 января 2013 год 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4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Источник опубликования</w:t>
                  </w:r>
                </w:p>
              </w:tc>
              <w:tc>
                <w:tcPr>
                  <w:tcW w:w="55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Ведомости нормативных актов органов государственной власти Республики Коми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780"/>
              </w:trPr>
              <w:tc>
                <w:tcPr>
                  <w:tcW w:w="95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Тариф на тепловую энергию, </w:t>
                  </w:r>
                  <w:proofErr w:type="spellStart"/>
                  <w:r w:rsidRPr="00D75D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руб</w:t>
                  </w:r>
                  <w:proofErr w:type="spellEnd"/>
                  <w:r w:rsidRPr="00D75DF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/Гкал 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40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Потребители</w:t>
                  </w:r>
                </w:p>
              </w:tc>
              <w:tc>
                <w:tcPr>
                  <w:tcW w:w="255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Горячая вода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Отборный пар давлением(кг/см2)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40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от 1,2 до 2,5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95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с 1 января 2013 г. по 30 июня 2013 г.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4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Потребители, оплачивающие производство и передачу тепловой энергии (без НДС)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4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</w:rPr>
                    <w:t>Одноставочный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 тариф на тепловую энергию, </w:t>
                  </w: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</w:rPr>
                    <w:t>руб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/Гкал 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          1 397,72  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          1 472,40   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95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Население (с НДС)*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4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</w:rPr>
                    <w:t>Одноставочный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 тариф на тепловую энергию, </w:t>
                  </w: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</w:rPr>
                    <w:t>руб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/Гкал 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          1 649,31  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95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с 1 июля 2013 г. 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4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Потребители, оплачивающие производство и передачу тепловой энергии (без НДС)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4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</w:rPr>
                    <w:t>Одноставочный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 тариф на тепловую энергию, </w:t>
                  </w: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</w:rPr>
                    <w:t>руб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/Гкал 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          1 565,45  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          1 649,10   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95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Население (с НДС)*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4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</w:rPr>
                    <w:t>Одноставочный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 тариф на тепловую энергию, </w:t>
                  </w: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</w:rPr>
                    <w:t>руб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/Гкал 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          1 847,23   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D75DF3" w:rsidRPr="00D75DF3" w:rsidTr="00F17E59">
              <w:trPr>
                <w:gridAfter w:val="4"/>
                <w:wAfter w:w="2299" w:type="dxa"/>
                <w:trHeight w:val="300"/>
              </w:trPr>
              <w:tc>
                <w:tcPr>
                  <w:tcW w:w="78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i/>
                      <w:iCs/>
                      <w:color w:val="000000"/>
                      <w:sz w:val="22"/>
                      <w:szCs w:val="22"/>
                    </w:rPr>
                    <w:t>* Выделяется в целях реализации пункта 6 статьи 168 Налогового кодекса Российской Федерации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600"/>
              </w:trPr>
              <w:tc>
                <w:tcPr>
                  <w:tcW w:w="4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Надбавка к тарифу регулируемой организации на тепловую энергию, </w:t>
                  </w: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</w:rPr>
                    <w:t>руб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</w:rPr>
                    <w:t>/Гкал</w:t>
                  </w:r>
                </w:p>
              </w:tc>
              <w:tc>
                <w:tcPr>
                  <w:tcW w:w="55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отсутствует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600"/>
              </w:trPr>
              <w:tc>
                <w:tcPr>
                  <w:tcW w:w="4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Надбавка к тарифу на тепловую энергию для потребителей, </w:t>
                  </w:r>
                  <w:proofErr w:type="spellStart"/>
                  <w:r w:rsidRPr="00D75DF3">
                    <w:rPr>
                      <w:color w:val="000000"/>
                      <w:sz w:val="22"/>
                      <w:szCs w:val="22"/>
                    </w:rPr>
                    <w:t>руб</w:t>
                  </w:r>
                  <w:proofErr w:type="spellEnd"/>
                  <w:r w:rsidRPr="00D75DF3">
                    <w:rPr>
                      <w:color w:val="000000"/>
                      <w:sz w:val="22"/>
                      <w:szCs w:val="22"/>
                    </w:rPr>
                    <w:t>/Гкал</w:t>
                  </w:r>
                </w:p>
              </w:tc>
              <w:tc>
                <w:tcPr>
                  <w:tcW w:w="552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отсутствует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615"/>
              </w:trPr>
              <w:tc>
                <w:tcPr>
                  <w:tcW w:w="95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Тариф на теплоноситель, руб. м3 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5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Потребители, оплачивающие теплоноситель (без НДС)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Население (с НДС)*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95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с 1 января 2013 г. по 30 июня 2013 г.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5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30,65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36,17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954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 xml:space="preserve">с 1 июля 2013 г. </w:t>
                  </w:r>
                </w:p>
              </w:tc>
            </w:tr>
            <w:tr w:rsidR="00D75DF3" w:rsidRPr="00D75DF3" w:rsidTr="00F17E59">
              <w:trPr>
                <w:gridAfter w:val="2"/>
                <w:wAfter w:w="575" w:type="dxa"/>
                <w:trHeight w:val="300"/>
              </w:trPr>
              <w:tc>
                <w:tcPr>
                  <w:tcW w:w="58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32,45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38,29</w:t>
                  </w:r>
                </w:p>
              </w:tc>
            </w:tr>
            <w:tr w:rsidR="00D75DF3" w:rsidRPr="00D75DF3" w:rsidTr="00F17E59">
              <w:trPr>
                <w:gridAfter w:val="4"/>
                <w:wAfter w:w="2299" w:type="dxa"/>
                <w:trHeight w:val="300"/>
              </w:trPr>
              <w:tc>
                <w:tcPr>
                  <w:tcW w:w="782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i/>
                      <w:iCs/>
                      <w:color w:val="000000"/>
                      <w:sz w:val="22"/>
                      <w:szCs w:val="22"/>
                    </w:rPr>
                    <w:t>* Выделяется в целях реализации пункта 6 статьи 168 Налогового кодекса Российской Федерации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675"/>
              </w:trPr>
              <w:tc>
                <w:tcPr>
                  <w:tcW w:w="1011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Тариф на горячую воду, руб. м3 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1395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Атрибуты решения по принятому тарифу (наименование, дата, номер)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Приказ Службы Республики Коми по тарифам от 28 июня 2013 года № 44/12 «О внесении изменения в приказ Службы Республики Коми по тарифам от 30 ноября 2012 года № 99/32О тарифах на горячую воду ООО «Теплосервис», оказывающего услуги на территории муниципального образования муниципального района «Сосногорск»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60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Наименование регулирующего органа, принявшего решение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Служба Республики Коми по тарифам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30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Период действия приказа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с 01 августа 2013 года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30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lastRenderedPageBreak/>
                    <w:t>Источник опубликования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Ведомости нормативных актов органов государственной власти Республики Коми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285"/>
              </w:trPr>
              <w:tc>
                <w:tcPr>
                  <w:tcW w:w="1011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b/>
                      <w:bCs/>
                      <w:color w:val="000000"/>
                      <w:sz w:val="22"/>
                      <w:szCs w:val="22"/>
                    </w:rPr>
                    <w:t>Размер тарифа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585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D75DF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75DF3">
                    <w:rPr>
                      <w:color w:val="000000"/>
                      <w:sz w:val="18"/>
                      <w:szCs w:val="18"/>
                    </w:rPr>
                    <w:t>Потребители, оплачивающие горячую воду (без НДС)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30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с 1 января 2013 г. по 30 июня 2013 г.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30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75DF3">
                    <w:rPr>
                      <w:color w:val="000000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D75DF3">
                    <w:rPr>
                      <w:color w:val="000000"/>
                      <w:sz w:val="20"/>
                      <w:szCs w:val="20"/>
                    </w:rPr>
                    <w:t>, руб./м3 в том числе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128,40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30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тепловая энергия, руб./Гкал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1 397,72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30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холодная вода, руб./м3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25,81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30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с 1 июля 2013 г. по 31 декабря 2013 г.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30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75DF3">
                    <w:rPr>
                      <w:color w:val="000000"/>
                      <w:sz w:val="20"/>
                      <w:szCs w:val="20"/>
                    </w:rPr>
                    <w:t>Одноставочный</w:t>
                  </w:r>
                  <w:proofErr w:type="spellEnd"/>
                  <w:r w:rsidRPr="00D75DF3">
                    <w:rPr>
                      <w:color w:val="000000"/>
                      <w:sz w:val="20"/>
                      <w:szCs w:val="20"/>
                    </w:rPr>
                    <w:t>, руб./м3 в том числе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142,31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30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тепловая энергия, руб./Гкал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1 565,45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30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холодная вода, руб./м3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color w:val="000000"/>
                      <w:sz w:val="22"/>
                      <w:szCs w:val="22"/>
                    </w:rPr>
                    <w:t>25,81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300"/>
              </w:trPr>
              <w:tc>
                <w:tcPr>
                  <w:tcW w:w="10113" w:type="dxa"/>
                  <w:gridSpan w:val="9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D75DF3">
                    <w:rPr>
                      <w:i/>
                      <w:iCs/>
                      <w:color w:val="000000"/>
                      <w:sz w:val="22"/>
                      <w:szCs w:val="22"/>
                    </w:rPr>
                    <w:t>* Выделяется в целях реализации пункта 6 статьи 168 Налогового кодекса Российской Федерации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510"/>
              </w:trPr>
              <w:tc>
                <w:tcPr>
                  <w:tcW w:w="5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Утвержденная надбавка к ценам (тарифам) на горячую воду для потребителей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51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Утвержденная надбавка к тарифам регулируемых организаций на горячую воду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765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Утвержденный тариф на подключение создаваемых (реконструируемых) объектов недвижимости к системе горячего водоснабжения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отсутствует</w:t>
                  </w:r>
                </w:p>
              </w:tc>
            </w:tr>
            <w:tr w:rsidR="00D75DF3" w:rsidRPr="00D75DF3" w:rsidTr="00F17E59">
              <w:trPr>
                <w:gridAfter w:val="1"/>
                <w:wAfter w:w="8" w:type="dxa"/>
                <w:trHeight w:val="510"/>
              </w:trPr>
              <w:tc>
                <w:tcPr>
                  <w:tcW w:w="54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Утвержденный тариф регулируемых организаций на подключение к системе горячего водоснабжения</w:t>
                  </w:r>
                </w:p>
              </w:tc>
              <w:tc>
                <w:tcPr>
                  <w:tcW w:w="467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5DF3" w:rsidRPr="00D75DF3" w:rsidRDefault="00D75DF3" w:rsidP="00D75DF3">
                  <w:pPr>
                    <w:spacing w:line="240" w:lineRule="auto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75DF3">
                    <w:rPr>
                      <w:color w:val="000000"/>
                      <w:sz w:val="20"/>
                      <w:szCs w:val="20"/>
                    </w:rPr>
                    <w:t>отсутствует</w:t>
                  </w:r>
                </w:p>
              </w:tc>
            </w:tr>
          </w:tbl>
          <w:p w:rsidR="00D75DF3" w:rsidRDefault="00D75DF3" w:rsidP="002E222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75DF3" w:rsidRDefault="00D75DF3" w:rsidP="002E222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E2229" w:rsidRPr="002E2229" w:rsidRDefault="002E2229" w:rsidP="002E222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E2229" w:rsidRPr="002E2229" w:rsidTr="000B61AA">
        <w:trPr>
          <w:gridAfter w:val="9"/>
          <w:wAfter w:w="16167" w:type="dxa"/>
          <w:trHeight w:val="300"/>
        </w:trPr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2E2229" w:rsidRDefault="002E2229" w:rsidP="000B61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2E2229" w:rsidRDefault="002E2229" w:rsidP="002E222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2229" w:rsidRPr="002E2229" w:rsidTr="000B61AA">
        <w:trPr>
          <w:gridAfter w:val="4"/>
          <w:wAfter w:w="7874" w:type="dxa"/>
          <w:trHeight w:val="300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2E2229" w:rsidRDefault="002E2229" w:rsidP="002E222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2E2229" w:rsidRDefault="002E2229" w:rsidP="002E222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2E2229" w:rsidRDefault="002E2229" w:rsidP="002E222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2E2229" w:rsidRDefault="002E2229" w:rsidP="002E2229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2E2229">
              <w:rPr>
                <w:i/>
                <w:iCs/>
                <w:color w:val="000000"/>
                <w:sz w:val="20"/>
                <w:szCs w:val="20"/>
                <w:u w:val="single"/>
              </w:rPr>
              <w:t>Проект договора</w:t>
            </w: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14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73DC4">
              <w:rPr>
                <w:b/>
                <w:bCs/>
                <w:i/>
                <w:iCs/>
                <w:color w:val="000000"/>
              </w:rPr>
              <w:t>ДОГОВОР №______________</w:t>
            </w:r>
          </w:p>
        </w:tc>
      </w:tr>
      <w:tr w:rsidR="002E2229" w:rsidRPr="00973DC4" w:rsidTr="000B61AA">
        <w:trPr>
          <w:gridAfter w:val="6"/>
          <w:wAfter w:w="10599" w:type="dxa"/>
          <w:trHeight w:val="69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229" w:rsidRPr="00973DC4" w:rsidRDefault="002E2229" w:rsidP="002E222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973DC4">
              <w:rPr>
                <w:b/>
                <w:bCs/>
                <w:i/>
                <w:iCs/>
                <w:color w:val="000000"/>
              </w:rPr>
              <w:t>О предоставлении услуг по отоплению, горячему водоснабжению с собственником (нанимателем) жилого помещения</w:t>
            </w:r>
          </w:p>
        </w:tc>
      </w:tr>
      <w:tr w:rsidR="002E2229" w:rsidRPr="00973DC4" w:rsidTr="000B61AA">
        <w:trPr>
          <w:gridAfter w:val="6"/>
          <w:wAfter w:w="10599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rPr>
                <w:color w:val="000000"/>
              </w:rPr>
            </w:pPr>
            <w:r w:rsidRPr="00973DC4">
              <w:rPr>
                <w:color w:val="000000"/>
              </w:rPr>
              <w:t>пгт. Нижний Одес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rPr>
                <w:color w:val="000000"/>
              </w:rPr>
            </w:pP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right"/>
              <w:rPr>
                <w:color w:val="000000"/>
              </w:rPr>
            </w:pPr>
            <w:r w:rsidRPr="00973DC4">
              <w:rPr>
                <w:color w:val="000000"/>
              </w:rPr>
              <w:t>«___» __________ 20___ г.</w:t>
            </w:r>
          </w:p>
        </w:tc>
      </w:tr>
      <w:tr w:rsidR="002E2229" w:rsidRPr="00973DC4" w:rsidTr="000B61AA">
        <w:trPr>
          <w:gridAfter w:val="6"/>
          <w:wAfter w:w="10599" w:type="dxa"/>
          <w:trHeight w:val="18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Общество с ограниченной ответственностью «Теплосервис»</w:t>
            </w:r>
            <w:r w:rsidRPr="00973DC4">
              <w:rPr>
                <w:color w:val="000000"/>
              </w:rPr>
              <w:t xml:space="preserve">, именуемое в дальнейшем </w:t>
            </w:r>
            <w:r w:rsidRPr="00973DC4">
              <w:rPr>
                <w:b/>
                <w:bCs/>
                <w:color w:val="000000"/>
              </w:rPr>
              <w:t>«Энергоснабжающая организация»</w:t>
            </w:r>
            <w:r w:rsidRPr="00973DC4">
              <w:rPr>
                <w:color w:val="000000"/>
              </w:rPr>
              <w:t xml:space="preserve">, в лице директора Милевской Ларисы Павловны, действующей на основании Устава, с одной стороны, и ___________________ </w:t>
            </w:r>
            <w:proofErr w:type="spellStart"/>
            <w:r w:rsidRPr="00973DC4">
              <w:rPr>
                <w:color w:val="000000"/>
              </w:rPr>
              <w:t>_______________________________________собственником</w:t>
            </w:r>
            <w:proofErr w:type="spellEnd"/>
            <w:r w:rsidRPr="00973DC4">
              <w:rPr>
                <w:color w:val="000000"/>
              </w:rPr>
              <w:t xml:space="preserve"> (нанимателем) жилого помещения расположенного по адресу: </w:t>
            </w:r>
            <w:proofErr w:type="spellStart"/>
            <w:r w:rsidRPr="00973DC4">
              <w:rPr>
                <w:color w:val="000000"/>
              </w:rPr>
              <w:t>гп</w:t>
            </w:r>
            <w:proofErr w:type="spellEnd"/>
            <w:r w:rsidRPr="00973DC4">
              <w:rPr>
                <w:color w:val="000000"/>
              </w:rPr>
              <w:t xml:space="preserve"> Нижний Одес, ул. ______________________________ д. ________ кв. _______ именуемый в дальнейшем </w:t>
            </w:r>
            <w:r w:rsidRPr="00973DC4">
              <w:rPr>
                <w:b/>
                <w:bCs/>
                <w:color w:val="000000"/>
              </w:rPr>
              <w:t>«Потребитель»</w:t>
            </w:r>
            <w:r w:rsidRPr="00973DC4">
              <w:rPr>
                <w:color w:val="000000"/>
              </w:rPr>
              <w:t>, с другой стороны, заключили настоящий договор о нижеследующем.</w:t>
            </w:r>
          </w:p>
        </w:tc>
      </w:tr>
      <w:tr w:rsidR="002E2229" w:rsidRPr="00973DC4" w:rsidTr="000B61AA">
        <w:trPr>
          <w:gridAfter w:val="6"/>
          <w:wAfter w:w="10599" w:type="dxa"/>
          <w:trHeight w:val="3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73DC4">
              <w:rPr>
                <w:b/>
                <w:bCs/>
                <w:i/>
                <w:iCs/>
                <w:color w:val="000000"/>
              </w:rPr>
              <w:t>1. ПРЕДМЕТ ДОГОВОРА.</w:t>
            </w:r>
          </w:p>
        </w:tc>
      </w:tr>
      <w:tr w:rsidR="002E2229" w:rsidRPr="00973DC4" w:rsidTr="000B61AA">
        <w:trPr>
          <w:gridAfter w:val="6"/>
          <w:wAfter w:w="10599" w:type="dxa"/>
          <w:trHeight w:val="112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 xml:space="preserve">1.1.  По настоящему договору Энергоснабжающая организация обязуется предоставлять Потребителю услуги по отоплению и горячему водоснабжению жилого помещения по адресу </w:t>
            </w:r>
            <w:proofErr w:type="spellStart"/>
            <w:r w:rsidRPr="00973DC4">
              <w:rPr>
                <w:color w:val="000000"/>
              </w:rPr>
              <w:t>гп</w:t>
            </w:r>
            <w:proofErr w:type="spellEnd"/>
            <w:r w:rsidRPr="00973DC4">
              <w:rPr>
                <w:color w:val="000000"/>
              </w:rPr>
              <w:t>. Нижний Одес, ул. _______________________ д. _______ кв. ____, а Потребитель обязуется оплачивать предоставленные услуги в сроки и на условиях, предусмотренных настоящим договором.</w:t>
            </w:r>
          </w:p>
        </w:tc>
      </w:tr>
      <w:tr w:rsidR="002E2229" w:rsidRPr="00973DC4" w:rsidTr="000B61AA">
        <w:trPr>
          <w:gridAfter w:val="6"/>
          <w:wAfter w:w="10599" w:type="dxa"/>
          <w:trHeight w:val="6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1.2.  Стороны настоящего договора в процессе его исполнения руководствуются действующем законодательством РФ и условиями данного договора.</w:t>
            </w:r>
          </w:p>
        </w:tc>
      </w:tr>
      <w:tr w:rsidR="002E2229" w:rsidRPr="00973DC4" w:rsidTr="000B61AA">
        <w:trPr>
          <w:gridAfter w:val="6"/>
          <w:wAfter w:w="10599" w:type="dxa"/>
          <w:trHeight w:val="87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 xml:space="preserve">1.3.  Условия настоящего договора распространяются на отношения между 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организацией и Потребителем вне зависимости от наличия или отсутствия установленных у Потребителя приборов учета тепловой энергией и горячей воды.</w:t>
            </w:r>
          </w:p>
        </w:tc>
      </w:tr>
      <w:tr w:rsidR="002E2229" w:rsidRPr="00973DC4" w:rsidTr="000B61AA">
        <w:trPr>
          <w:gridAfter w:val="6"/>
          <w:wAfter w:w="10599" w:type="dxa"/>
          <w:trHeight w:val="42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73DC4">
              <w:rPr>
                <w:b/>
                <w:bCs/>
                <w:i/>
                <w:iCs/>
                <w:color w:val="000000"/>
              </w:rPr>
              <w:lastRenderedPageBreak/>
              <w:t>2. ОБЯЗАННОСТИ И ПРАВА ИСПОЛНИТЕЛЯ</w:t>
            </w:r>
          </w:p>
        </w:tc>
      </w:tr>
      <w:tr w:rsidR="002E2229" w:rsidRPr="00973DC4" w:rsidTr="000B61AA">
        <w:trPr>
          <w:gridAfter w:val="6"/>
          <w:wAfter w:w="10599" w:type="dxa"/>
          <w:trHeight w:val="36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2.1.  По настоящему договору Энергоснабжающая организация обязуется:</w:t>
            </w:r>
          </w:p>
        </w:tc>
      </w:tr>
      <w:tr w:rsidR="002E2229" w:rsidRPr="00973DC4" w:rsidTr="000B61AA">
        <w:trPr>
          <w:gridAfter w:val="6"/>
          <w:wAfter w:w="10599" w:type="dxa"/>
          <w:trHeight w:val="11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 xml:space="preserve">2.1.1.      Предоставлять Потребителю услуги по теплоснабжению и горячему водоснабжению, соответствующие по качеству обязательным требованиям нормативов и стандартов, санитарных правил и норм. Перечисленные услуги предоставляются Потребителю непрерывно, за исключением случаев, предусмотренных действующим законодательством и настоящим договором. </w:t>
            </w:r>
          </w:p>
        </w:tc>
      </w:tr>
      <w:tr w:rsidR="002E2229" w:rsidRPr="00973DC4" w:rsidTr="000B61AA">
        <w:trPr>
          <w:gridAfter w:val="6"/>
          <w:wAfter w:w="10599" w:type="dxa"/>
          <w:trHeight w:val="406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2.1.2.      Предъявлять Потребителю счета-квитанции за оказанные услуги по отоплению и горячему водоснабжению.</w:t>
            </w:r>
          </w:p>
        </w:tc>
      </w:tr>
      <w:tr w:rsidR="002E2229" w:rsidRPr="00973DC4" w:rsidTr="000B61AA">
        <w:trPr>
          <w:gridAfter w:val="6"/>
          <w:wAfter w:w="10599" w:type="dxa"/>
          <w:trHeight w:val="52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2.1.3.      При отклонении качества услуг от требований нормативов и стандартов производить перерасчет оплаты услуг.</w:t>
            </w:r>
          </w:p>
        </w:tc>
      </w:tr>
      <w:tr w:rsidR="002E2229" w:rsidRPr="00973DC4" w:rsidTr="000B61AA">
        <w:trPr>
          <w:gridAfter w:val="6"/>
          <w:wAfter w:w="10599" w:type="dxa"/>
          <w:trHeight w:val="58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2.1.4.      Принимать от Потребителя оплату за оказанные услуги (отопление, горячее водоснабжение) в соответствии с п.4.7. настоящего договора.</w:t>
            </w:r>
          </w:p>
        </w:tc>
      </w:tr>
      <w:tr w:rsidR="002E2229" w:rsidRPr="00973DC4" w:rsidTr="000B61AA">
        <w:trPr>
          <w:gridAfter w:val="6"/>
          <w:wAfter w:w="10599" w:type="dxa"/>
          <w:trHeight w:val="208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2.1.5.      Принимать своевременные меры по предупреждению и устранению нарушений качества предоставляемых услуг Потребителю.</w:t>
            </w:r>
          </w:p>
        </w:tc>
      </w:tr>
      <w:tr w:rsidR="002E2229" w:rsidRPr="00973DC4" w:rsidTr="000B61AA">
        <w:trPr>
          <w:gridAfter w:val="6"/>
          <w:wAfter w:w="10599" w:type="dxa"/>
          <w:trHeight w:val="64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2.1.6.      Производить пломбирование установленных для учета потребления Потребителем энергии и горячей воды приборов учета, маркирование их специальными знаками, метками и т.д.</w:t>
            </w:r>
          </w:p>
        </w:tc>
      </w:tr>
      <w:tr w:rsidR="002E2229" w:rsidRPr="00973DC4" w:rsidTr="000B61AA">
        <w:trPr>
          <w:gridAfter w:val="6"/>
          <w:wAfter w:w="10599" w:type="dxa"/>
          <w:trHeight w:val="3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2.2.  Энергоснабжающая организация имеет право:</w:t>
            </w:r>
          </w:p>
        </w:tc>
      </w:tr>
      <w:tr w:rsidR="002E2229" w:rsidRPr="00973DC4" w:rsidTr="000B61AA">
        <w:trPr>
          <w:gridAfter w:val="6"/>
          <w:wAfter w:w="10599" w:type="dxa"/>
          <w:trHeight w:val="8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2.2.1.      Применять меры, предусмотренные действующим законодательством и настоящим договором, в случае нарушения Потребителем сроков и условий оплаты предоставленных ему по данному договору коммунальных услуг.</w:t>
            </w:r>
          </w:p>
        </w:tc>
      </w:tr>
      <w:tr w:rsidR="002E2229" w:rsidRPr="00973DC4" w:rsidTr="000B61AA">
        <w:trPr>
          <w:gridAfter w:val="6"/>
          <w:wAfter w:w="10599" w:type="dxa"/>
          <w:trHeight w:val="113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2.2.2.      Прекращать предоставление услуг Потребителю в случае просрочки оплаты последним услуг по настоящему договору более трех месяцев, а также в иных установленных действующим законодательством случаях, в установленном законом порядке. Возобновление предоставления услуг по настоящему договору производится после ликвидации Потребителем задолженности и/или устранения выявленных нарушений.</w:t>
            </w:r>
          </w:p>
        </w:tc>
      </w:tr>
      <w:tr w:rsidR="002E2229" w:rsidRPr="00973DC4" w:rsidTr="000B61AA">
        <w:trPr>
          <w:gridAfter w:val="6"/>
          <w:wAfter w:w="10599" w:type="dxa"/>
          <w:trHeight w:val="6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2.2.3.      Контролировать приборы учета на соответствии техническим требованиям, стандартам, наличие сертификации.</w:t>
            </w:r>
          </w:p>
        </w:tc>
      </w:tr>
      <w:tr w:rsidR="002E2229" w:rsidRPr="00973DC4" w:rsidTr="000B61AA">
        <w:trPr>
          <w:gridAfter w:val="6"/>
          <w:wAfter w:w="10599" w:type="dxa"/>
          <w:trHeight w:val="57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2.2.4.      Производить снятие (проверку) показаний приборов учета, учитывающего потребление Потребителем тепловой энергии и горячей воды.</w:t>
            </w:r>
          </w:p>
        </w:tc>
      </w:tr>
      <w:tr w:rsidR="002E2229" w:rsidRPr="00973DC4" w:rsidTr="000B61AA">
        <w:trPr>
          <w:gridAfter w:val="6"/>
          <w:wAfter w:w="10599" w:type="dxa"/>
          <w:trHeight w:val="75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 xml:space="preserve">2.2.5.      Производить отключения горячего  водоснабжения и отопления для производства планово-ремонтных работ, согласно графику 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организации, а также в иных случаях, предусмотренных действующим законодательством.</w:t>
            </w:r>
          </w:p>
        </w:tc>
      </w:tr>
      <w:tr w:rsidR="002E2229" w:rsidRPr="00973DC4" w:rsidTr="000B61AA">
        <w:trPr>
          <w:gridAfter w:val="6"/>
          <w:wAfter w:w="10599" w:type="dxa"/>
          <w:trHeight w:val="58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Сроки проведения профилактических и ремонтных работ, связанных с прекращением горячего водоснабжения, не должны превышать 21 день.</w:t>
            </w:r>
          </w:p>
        </w:tc>
      </w:tr>
      <w:tr w:rsidR="002E2229" w:rsidRPr="00973DC4" w:rsidTr="000B61AA">
        <w:trPr>
          <w:gridAfter w:val="6"/>
          <w:wAfter w:w="10599" w:type="dxa"/>
          <w:trHeight w:val="39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73DC4">
              <w:rPr>
                <w:b/>
                <w:bCs/>
                <w:i/>
                <w:iCs/>
                <w:color w:val="000000"/>
              </w:rPr>
              <w:t>3. ОБЯЗАННОСТИ И ПРАВА ПОТРЕБИТЕЛЯ</w:t>
            </w:r>
          </w:p>
        </w:tc>
      </w:tr>
      <w:tr w:rsidR="002E2229" w:rsidRPr="00973DC4" w:rsidTr="000B61AA">
        <w:trPr>
          <w:gridAfter w:val="6"/>
          <w:wAfter w:w="10599" w:type="dxa"/>
          <w:trHeight w:val="243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3.1.  По настоящему договору Потребитель обязуется:</w:t>
            </w:r>
          </w:p>
        </w:tc>
      </w:tr>
      <w:tr w:rsidR="002E2229" w:rsidRPr="00973DC4" w:rsidTr="000B61AA">
        <w:trPr>
          <w:gridAfter w:val="6"/>
          <w:wAfter w:w="10599" w:type="dxa"/>
          <w:trHeight w:val="63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3.1.1.      Оплачивать предоставленные «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организацией» услуги в сроки и на условиях, предусмотренных настоящим договором.</w:t>
            </w:r>
          </w:p>
        </w:tc>
      </w:tr>
      <w:tr w:rsidR="002E2229" w:rsidRPr="00973DC4" w:rsidTr="000B61AA">
        <w:trPr>
          <w:gridAfter w:val="6"/>
          <w:wAfter w:w="10599" w:type="dxa"/>
          <w:trHeight w:val="326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3.1.2.      Не совершать действий, нарушающих порядок пользования услугами, установленный договором и действующим законодательством.</w:t>
            </w:r>
          </w:p>
        </w:tc>
      </w:tr>
      <w:tr w:rsidR="002E2229" w:rsidRPr="00973DC4" w:rsidTr="000B61AA">
        <w:trPr>
          <w:gridAfter w:val="6"/>
          <w:wAfter w:w="10599" w:type="dxa"/>
          <w:trHeight w:val="56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3.1.3.      Обеспечивать проверку установленных у Потребителя приборов учета потребления тепловой энергии, горячей воды (водомеров) на основании технических требований и характеристик данных приборов учета в соответствии с действующим законодательством.</w:t>
            </w:r>
          </w:p>
        </w:tc>
      </w:tr>
      <w:tr w:rsidR="002E2229" w:rsidRPr="00973DC4" w:rsidTr="000B61AA">
        <w:trPr>
          <w:gridAfter w:val="6"/>
          <w:wAfter w:w="10599" w:type="dxa"/>
          <w:trHeight w:val="54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lastRenderedPageBreak/>
              <w:t>3.1.4.      Допускать представителей «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организации» к установленным у него приборам учета с 8 до 19 часов рабочего или выходного дня.</w:t>
            </w:r>
          </w:p>
        </w:tc>
      </w:tr>
      <w:tr w:rsidR="002E2229" w:rsidRPr="00973DC4" w:rsidTr="000B61AA">
        <w:trPr>
          <w:gridAfter w:val="6"/>
          <w:wAfter w:w="10599" w:type="dxa"/>
          <w:trHeight w:val="49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3.1.5.      Немедленно сообщать «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организации» обо всех обнаруженных Потребителем нарушениях в работе приборов учета тепловой энергии и горячей воды, а также срыве и нарушении целостности установленных на данных приборах учета пломб.</w:t>
            </w:r>
          </w:p>
        </w:tc>
      </w:tr>
      <w:tr w:rsidR="002E2229" w:rsidRPr="00973DC4" w:rsidTr="000B61AA">
        <w:trPr>
          <w:gridAfter w:val="6"/>
          <w:wAfter w:w="10599" w:type="dxa"/>
          <w:trHeight w:val="23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3.1.6.      При установке Потребителем индивидуальных приборов учета тепловой энергии или горячей воды и переходе на оплату по их показаниям зарегистрировать данные прибора учета и показания, с которыми они установлены и введены в эксплуатацию, у «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организации». При намерении Потребителя демонтировать установленные у него приборы учета горячей воды (водомеры) и/или тепловой энергии, он обязуется известить «</w:t>
            </w:r>
            <w:proofErr w:type="spellStart"/>
            <w:r w:rsidRPr="00973DC4">
              <w:rPr>
                <w:color w:val="000000"/>
              </w:rPr>
              <w:t>Энергоснабжающую</w:t>
            </w:r>
            <w:proofErr w:type="spellEnd"/>
            <w:r w:rsidRPr="00973DC4">
              <w:rPr>
                <w:color w:val="000000"/>
              </w:rPr>
              <w:t xml:space="preserve"> организацию»  о данном намерении не позднее, чем за 5 рабочих дней до демонтажа, для фиксации «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организацией» последних действительных показаний установленных приборов учета. Энергоснабжающая организация не обязана принимать показания водомеров, переданные Потребителем «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организации» в случае нарушения вышеуказанного условия, и использовать их при расчетах оплаты за отопление и горячее водоснабжение.</w:t>
            </w:r>
          </w:p>
        </w:tc>
      </w:tr>
      <w:tr w:rsidR="002E2229" w:rsidRPr="00973DC4" w:rsidTr="000B61AA">
        <w:trPr>
          <w:gridAfter w:val="6"/>
          <w:wAfter w:w="10599" w:type="dxa"/>
          <w:trHeight w:val="114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3.1.7.      Не позднее пятидневного срока информировать «</w:t>
            </w:r>
            <w:proofErr w:type="spellStart"/>
            <w:r w:rsidRPr="00973DC4">
              <w:rPr>
                <w:color w:val="000000"/>
              </w:rPr>
              <w:t>Энергоснабжающую</w:t>
            </w:r>
            <w:proofErr w:type="spellEnd"/>
            <w:r w:rsidRPr="00973DC4">
              <w:rPr>
                <w:color w:val="000000"/>
              </w:rPr>
              <w:t xml:space="preserve"> организацию» об изменении количества проживающих совместно с Потребителем граждан; о возникновении или прекращении у Потребителя и/или совместно проживающих с ним граждан прав на получение льгот по оплате предоставленных им тепловой энергии и горячего водоснабжения.</w:t>
            </w:r>
          </w:p>
        </w:tc>
      </w:tr>
      <w:tr w:rsidR="002E2229" w:rsidRPr="00973DC4" w:rsidTr="000B61AA">
        <w:trPr>
          <w:gridAfter w:val="6"/>
          <w:wAfter w:w="10599" w:type="dxa"/>
          <w:trHeight w:val="111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3.1.8.      Не позднее, чем за десять дней информировать «</w:t>
            </w:r>
            <w:proofErr w:type="spellStart"/>
            <w:r w:rsidRPr="00973DC4">
              <w:rPr>
                <w:color w:val="000000"/>
              </w:rPr>
              <w:t>Энергоснабжающую</w:t>
            </w:r>
            <w:proofErr w:type="spellEnd"/>
            <w:r w:rsidRPr="00973DC4">
              <w:rPr>
                <w:color w:val="000000"/>
              </w:rPr>
              <w:t xml:space="preserve"> организацию» обо всех планируемых Потребителем операциях с принадлежащим Потребителю на правах собственности или договора социального найма жилого помещения недвижимым имуществом (квартирой, расположенной по указанному в преамбуле настоящего договора адресу).</w:t>
            </w:r>
          </w:p>
        </w:tc>
      </w:tr>
      <w:tr w:rsidR="002E2229" w:rsidRPr="00973DC4" w:rsidTr="000B61AA">
        <w:trPr>
          <w:gridAfter w:val="6"/>
          <w:wAfter w:w="10599" w:type="dxa"/>
          <w:trHeight w:val="36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3.2.  Потребитель имеет право:</w:t>
            </w:r>
          </w:p>
        </w:tc>
      </w:tr>
      <w:tr w:rsidR="002E2229" w:rsidRPr="00973DC4" w:rsidTr="000B61AA">
        <w:trPr>
          <w:gridAfter w:val="6"/>
          <w:wAfter w:w="10599" w:type="dxa"/>
          <w:trHeight w:val="64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3.2.1.      На получение услуг установленного качества, безопасных для его жизни и здоровья, не причиняющих вреда его имуществу.</w:t>
            </w:r>
          </w:p>
        </w:tc>
      </w:tr>
      <w:tr w:rsidR="002E2229" w:rsidRPr="00973DC4" w:rsidTr="000B61AA">
        <w:trPr>
          <w:gridAfter w:val="6"/>
          <w:wAfter w:w="10599" w:type="dxa"/>
          <w:trHeight w:val="6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3.2.2.      На устранение выявленных недостатков в предоставлении услуг в установленные сроки согласно нормам и правилам предоставления коммунальных услуг.</w:t>
            </w:r>
          </w:p>
        </w:tc>
      </w:tr>
      <w:tr w:rsidR="002E2229" w:rsidRPr="00973DC4" w:rsidTr="000B61AA">
        <w:trPr>
          <w:gridAfter w:val="6"/>
          <w:wAfter w:w="10599" w:type="dxa"/>
          <w:trHeight w:val="557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3.2.3.      Приобретать и устанавливать приборы учета при наличии паспорта завода изготовителя, соответствующих сертификатов, с дальнейшим их использованием и обслуживанием за счет собственных средств на основании технических условий, выданных Исполнителем.</w:t>
            </w:r>
          </w:p>
        </w:tc>
      </w:tr>
      <w:tr w:rsidR="002E2229" w:rsidRPr="00973DC4" w:rsidTr="000B61AA">
        <w:trPr>
          <w:gridAfter w:val="6"/>
          <w:wAfter w:w="10599" w:type="dxa"/>
          <w:trHeight w:val="33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73DC4">
              <w:rPr>
                <w:b/>
                <w:bCs/>
                <w:i/>
                <w:iCs/>
                <w:color w:val="000000"/>
              </w:rPr>
              <w:t>4. ЦЕНА ДОГОВОРА, ПОРЯДОК УЧЕТА И РАСЧЕТОВ</w:t>
            </w:r>
          </w:p>
        </w:tc>
      </w:tr>
      <w:tr w:rsidR="002E2229" w:rsidRPr="00973DC4" w:rsidTr="000B61AA">
        <w:trPr>
          <w:gridAfter w:val="6"/>
          <w:wAfter w:w="10599" w:type="dxa"/>
          <w:trHeight w:val="88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4.1.  Расчеты по настоящему договору за предоставленные услуги производятся по тарифам  на отопление и горячее водоснабже6ние, утвержденным в установленном законом порядке, соответственно применяются новые тарифы с момента их вступления в силу.</w:t>
            </w:r>
          </w:p>
        </w:tc>
      </w:tr>
      <w:tr w:rsidR="002E2229" w:rsidRPr="00973DC4" w:rsidTr="000B61AA">
        <w:trPr>
          <w:gridAfter w:val="6"/>
          <w:wAfter w:w="10599" w:type="dxa"/>
          <w:trHeight w:val="34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4.2.  Энергоснабжающая организация выставляет Потребителю счета-квитанции:</w:t>
            </w:r>
          </w:p>
        </w:tc>
      </w:tr>
      <w:tr w:rsidR="002E2229" w:rsidRPr="00973DC4" w:rsidTr="000B61AA">
        <w:trPr>
          <w:gridAfter w:val="6"/>
          <w:wAfter w:w="10599" w:type="dxa"/>
          <w:trHeight w:val="3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4.2.1.      За отопление и горячее водоснабжение:</w:t>
            </w:r>
          </w:p>
        </w:tc>
      </w:tr>
      <w:tr w:rsidR="002E2229" w:rsidRPr="00973DC4" w:rsidTr="000B61AA">
        <w:trPr>
          <w:gridAfter w:val="6"/>
          <w:wAfter w:w="10599" w:type="dxa"/>
          <w:trHeight w:val="117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 xml:space="preserve">·         </w:t>
            </w:r>
            <w:r w:rsidRPr="00973DC4">
              <w:rPr>
                <w:b/>
                <w:bCs/>
                <w:i/>
                <w:iCs/>
                <w:color w:val="000000"/>
              </w:rPr>
              <w:t xml:space="preserve">При наличии приборов учета - </w:t>
            </w:r>
            <w:r w:rsidRPr="00973DC4">
              <w:rPr>
                <w:color w:val="000000"/>
              </w:rPr>
              <w:t>при расчетах за горячее водоснабжение и/или тепловую энергию по показаниям приборов учета Потребитель снимает показания приборов учета горячего водоснабжения и/или тепловой энергии в период с 1-го по 5-е число каждого месяца, следующего за расчетным, и сообщает их  «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 организации» по тел. </w:t>
            </w:r>
            <w:r w:rsidRPr="00973DC4">
              <w:rPr>
                <w:b/>
                <w:bCs/>
                <w:color w:val="000000"/>
              </w:rPr>
              <w:t>2-20-34.</w:t>
            </w:r>
          </w:p>
        </w:tc>
      </w:tr>
      <w:tr w:rsidR="002E2229" w:rsidRPr="00973DC4" w:rsidTr="000B61AA">
        <w:trPr>
          <w:gridAfter w:val="6"/>
          <w:wAfter w:w="10599" w:type="dxa"/>
          <w:trHeight w:val="81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 xml:space="preserve">·         </w:t>
            </w:r>
            <w:r w:rsidRPr="00973DC4">
              <w:rPr>
                <w:b/>
                <w:bCs/>
                <w:i/>
                <w:iCs/>
                <w:color w:val="000000"/>
              </w:rPr>
              <w:t>При отсутствии приборов учета</w:t>
            </w:r>
            <w:r w:rsidRPr="00973DC4">
              <w:rPr>
                <w:color w:val="000000"/>
              </w:rPr>
              <w:t xml:space="preserve"> – по нормативам и действующим тарифам на отопление и горячее водоснабжение, утвержденным в установленном законе порядке, с учетом полезной площади жилого помещения и количества проживающих совместно с Потребителем </w:t>
            </w:r>
            <w:r w:rsidRPr="00973DC4">
              <w:rPr>
                <w:color w:val="000000"/>
              </w:rPr>
              <w:lastRenderedPageBreak/>
              <w:t>граждан.</w:t>
            </w:r>
          </w:p>
        </w:tc>
      </w:tr>
      <w:tr w:rsidR="002E2229" w:rsidRPr="00973DC4" w:rsidTr="000B61AA">
        <w:trPr>
          <w:gridAfter w:val="6"/>
          <w:wAfter w:w="10599" w:type="dxa"/>
          <w:trHeight w:val="57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lastRenderedPageBreak/>
              <w:t>4.3.  При изменении в течение года тарифов на отопление и горячее водоснабжение Энергоснабжающая организация производит соответствующий перерасчет со дня их изменения.</w:t>
            </w:r>
          </w:p>
        </w:tc>
      </w:tr>
      <w:tr w:rsidR="002E2229" w:rsidRPr="00973DC4" w:rsidTr="000B61AA">
        <w:trPr>
          <w:gridAfter w:val="6"/>
          <w:wAfter w:w="10599" w:type="dxa"/>
          <w:trHeight w:val="106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4.4.  В случае неисполнения Потребителем п.3.1.5. настоящего договора, Энергоснабжающая организация имеет право производить расчет по нормативу потребления горячего водоснабжения и/или отопления за весь период с момента последней проверки показаний прибора учета, вплоть до установки нового или отремонтированного прибора, восстановления пломбы.</w:t>
            </w:r>
          </w:p>
        </w:tc>
      </w:tr>
      <w:tr w:rsidR="002E2229" w:rsidRPr="00973DC4" w:rsidTr="000B61AA">
        <w:trPr>
          <w:gridAfter w:val="6"/>
          <w:wAfter w:w="10599" w:type="dxa"/>
          <w:trHeight w:val="1129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4.5.  Потребитель обязан ежемесячно, в срок до 10-го числа месяца следующего за расчетным, оплачивать услуги по предоставленным платежным документам (счетам-квитанциям). Оплата за услуги по настоящему договору производится Потребителем путем перечисления денежных средств на расчетный счет «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организации». Информация обо всех пунктах приема платежей может быть предоставлена Потребителю по его первому требованию диспетчерами в любом из абонентских участков 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организации.</w:t>
            </w:r>
          </w:p>
        </w:tc>
      </w:tr>
      <w:tr w:rsidR="002E2229" w:rsidRPr="00973DC4" w:rsidTr="000B61AA">
        <w:trPr>
          <w:gridAfter w:val="6"/>
          <w:wAfter w:w="10599" w:type="dxa"/>
          <w:trHeight w:val="117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4.6.  Неполучение Потребителем счета-квитанции за расчетный месяц не освобождает его от оплаты предоставленных ему услуг по настоящему договору. В этом случае Потребитель до конца месяца, следующего за расчетным, необходимо получить соответствующий счет-квитанцию в любом из абонентских участков Исполнителя.</w:t>
            </w:r>
          </w:p>
        </w:tc>
      </w:tr>
      <w:tr w:rsidR="002E2229" w:rsidRPr="00973DC4" w:rsidTr="000B61AA">
        <w:trPr>
          <w:gridAfter w:val="6"/>
          <w:wAfter w:w="10599" w:type="dxa"/>
          <w:trHeight w:val="6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4.7.  Состав услуг, предоставляемых Потребителю, определяется степенью благоустройства жилого дома или квартиры в соответствии с действующим законодательством РФ.</w:t>
            </w:r>
          </w:p>
        </w:tc>
      </w:tr>
      <w:tr w:rsidR="002E2229" w:rsidRPr="00973DC4" w:rsidTr="000B61AA">
        <w:trPr>
          <w:gridAfter w:val="6"/>
          <w:wAfter w:w="10599" w:type="dxa"/>
          <w:trHeight w:val="3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4.8.  Расчетный период для оплаты услуг устанавливается в один месяц.</w:t>
            </w:r>
          </w:p>
        </w:tc>
      </w:tr>
      <w:tr w:rsidR="002E2229" w:rsidRPr="00973DC4" w:rsidTr="000B61AA">
        <w:trPr>
          <w:gridAfter w:val="6"/>
          <w:wAfter w:w="10599" w:type="dxa"/>
          <w:trHeight w:val="91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 xml:space="preserve">4.9.  Несвоевременное внесение платы за услуги Потребителем, влечет за собой начисление пени 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организацией в размере одной трехсотой действующей на момент оплаты ставки рефинансирования Центрального банка РФ от просроченной суммы платежей за каждый день просрочки.</w:t>
            </w:r>
          </w:p>
        </w:tc>
      </w:tr>
      <w:tr w:rsidR="002E2229" w:rsidRPr="00973DC4" w:rsidTr="000B61AA">
        <w:trPr>
          <w:gridAfter w:val="6"/>
          <w:wAfter w:w="10599" w:type="dxa"/>
          <w:trHeight w:val="51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73DC4">
              <w:rPr>
                <w:b/>
                <w:bCs/>
                <w:i/>
                <w:iCs/>
                <w:color w:val="000000"/>
              </w:rPr>
              <w:t>5. ОТВЕТСТВЕННОСТЬ СТОРОН</w:t>
            </w:r>
          </w:p>
        </w:tc>
      </w:tr>
      <w:tr w:rsidR="002E2229" w:rsidRPr="00973DC4" w:rsidTr="000B61AA">
        <w:trPr>
          <w:gridAfter w:val="6"/>
          <w:wAfter w:w="10599" w:type="dxa"/>
          <w:trHeight w:val="48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5.1.  Потребитель несет ответственность за эксплуатацию и сохранность приборов учета тепловой энергии и горячей воды, установленных внутри используемого Потребителем жилого помещения, а также за нарушение установленных на данных приборах учета пломб.</w:t>
            </w:r>
          </w:p>
        </w:tc>
      </w:tr>
      <w:tr w:rsidR="002E2229" w:rsidRPr="00973DC4" w:rsidTr="000B61AA">
        <w:trPr>
          <w:gridAfter w:val="6"/>
          <w:wAfter w:w="10599" w:type="dxa"/>
          <w:trHeight w:val="58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5.2. 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      </w:r>
          </w:p>
        </w:tc>
      </w:tr>
      <w:tr w:rsidR="002E2229" w:rsidRPr="00973DC4" w:rsidTr="000B61AA">
        <w:trPr>
          <w:gridAfter w:val="6"/>
          <w:wAfter w:w="10599" w:type="dxa"/>
          <w:trHeight w:val="51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73DC4">
              <w:rPr>
                <w:b/>
                <w:bCs/>
                <w:i/>
                <w:iCs/>
                <w:color w:val="000000"/>
              </w:rPr>
              <w:t>6. ПРЕКРАЩЕНИЕ ДЕЙСТВИЯ ДОГОВОРА</w:t>
            </w:r>
          </w:p>
        </w:tc>
      </w:tr>
      <w:tr w:rsidR="002E2229" w:rsidRPr="00973DC4" w:rsidTr="000B61AA">
        <w:trPr>
          <w:gridAfter w:val="6"/>
          <w:wAfter w:w="10599" w:type="dxa"/>
          <w:trHeight w:val="108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6.1.  При досрочном расторжении Потребителем договора по собственной инициативе и (или) смене собственника или нанимателя жилого помещения, Потребитель обязан предупредить об этом Исполнителя не позднее, чем за десять рабочих дней, и произвести оплату за предоставленные услуги полностью на момент снятия Потребителя с регистрационного учета в Паспортно-визовой службе ОВД г. Сосногорск.</w:t>
            </w:r>
          </w:p>
        </w:tc>
      </w:tr>
      <w:tr w:rsidR="002E2229" w:rsidRPr="00973DC4" w:rsidTr="000B61AA">
        <w:trPr>
          <w:gridAfter w:val="6"/>
          <w:wAfter w:w="10599" w:type="dxa"/>
          <w:trHeight w:val="36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973DC4">
              <w:rPr>
                <w:b/>
                <w:bCs/>
                <w:i/>
                <w:iCs/>
                <w:color w:val="000000"/>
              </w:rPr>
              <w:t>7. СРОК ДЕЙСТВИЯ ДОГОВОРА И ПРОЧИЕ УСЛОВИЯ</w:t>
            </w:r>
          </w:p>
        </w:tc>
      </w:tr>
      <w:tr w:rsidR="002E2229" w:rsidRPr="00973DC4" w:rsidTr="000B61AA">
        <w:trPr>
          <w:gridAfter w:val="6"/>
          <w:wAfter w:w="10599" w:type="dxa"/>
          <w:trHeight w:val="93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 xml:space="preserve">7.1.  Настоящий договор вступает в силу с момента его подписания сторонами и действует до выполнения сторонами взаимных обязательств и урегулирования всех расчетов между Потребителем и </w:t>
            </w:r>
            <w:proofErr w:type="spellStart"/>
            <w:r w:rsidRPr="00973DC4">
              <w:rPr>
                <w:color w:val="000000"/>
              </w:rPr>
              <w:t>Энергоснабжающей</w:t>
            </w:r>
            <w:proofErr w:type="spellEnd"/>
            <w:r w:rsidRPr="00973DC4">
              <w:rPr>
                <w:color w:val="000000"/>
              </w:rPr>
              <w:t xml:space="preserve"> организации.</w:t>
            </w:r>
          </w:p>
        </w:tc>
      </w:tr>
      <w:tr w:rsidR="002E2229" w:rsidRPr="00973DC4" w:rsidTr="000B61AA">
        <w:trPr>
          <w:gridAfter w:val="6"/>
          <w:wAfter w:w="10599" w:type="dxa"/>
          <w:trHeight w:val="52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7.2.  Споры, которые могут возникнуть между сторонами по настоящему договору, разрешаются в порядке, установленном действующим законодательством РФ.</w:t>
            </w:r>
          </w:p>
        </w:tc>
      </w:tr>
      <w:tr w:rsidR="002E2229" w:rsidRPr="00973DC4" w:rsidTr="000B61AA">
        <w:trPr>
          <w:gridAfter w:val="6"/>
          <w:wAfter w:w="10599" w:type="dxa"/>
          <w:trHeight w:val="30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lastRenderedPageBreak/>
              <w:t>7.3.  По всем вопросам, не нашедшим отражение в настоящем договоре, стороны руководствуются действующим законодательством РФ.</w:t>
            </w:r>
          </w:p>
        </w:tc>
      </w:tr>
      <w:tr w:rsidR="002E2229" w:rsidRPr="00973DC4" w:rsidTr="000B61AA">
        <w:trPr>
          <w:gridAfter w:val="6"/>
          <w:wAfter w:w="10599" w:type="dxa"/>
          <w:trHeight w:val="267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>7.4.  Настоящий договор составлен в двух экземплярах, имеющих равную юридическую силу, по одному для каждой из стороны.</w:t>
            </w: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14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center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8. АДРЕСА И РЕКВИЗИТЫ СТОРОН</w:t>
            </w: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center"/>
              <w:rPr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center"/>
              <w:rPr>
                <w:color w:val="000000"/>
              </w:rPr>
            </w:pPr>
          </w:p>
        </w:tc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973DC4" w:rsidRDefault="002E2229" w:rsidP="002E2229">
            <w:pPr>
              <w:jc w:val="center"/>
              <w:rPr>
                <w:color w:val="000000"/>
              </w:rPr>
            </w:pP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29" w:rsidRPr="00973DC4" w:rsidRDefault="002E2229" w:rsidP="002E2229">
            <w:pPr>
              <w:jc w:val="both"/>
              <w:rPr>
                <w:color w:val="000000"/>
              </w:rPr>
            </w:pPr>
            <w:r w:rsidRPr="00973DC4">
              <w:rPr>
                <w:color w:val="000000"/>
              </w:rPr>
              <w:t xml:space="preserve">ЭНЕРГОСНАБЖАЮЩАЯ ОРГАНИЗАЦИЯ:        </w:t>
            </w:r>
          </w:p>
        </w:tc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ПОТРЕБИТЕЛЬ__________________________________________________________________________</w:t>
            </w: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ООО «Теплосервис»</w:t>
            </w:r>
          </w:p>
        </w:tc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 xml:space="preserve">(Ф.И.О.)  </w:t>
            </w:r>
          </w:p>
        </w:tc>
      </w:tr>
      <w:tr w:rsidR="002E2229" w:rsidRPr="00973DC4" w:rsidTr="000B61AA">
        <w:trPr>
          <w:gridAfter w:val="3"/>
          <w:wAfter w:w="6665" w:type="dxa"/>
          <w:trHeight w:val="51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 xml:space="preserve">Адрес: </w:t>
            </w:r>
            <w:r w:rsidRPr="00973DC4">
              <w:rPr>
                <w:color w:val="000000"/>
              </w:rPr>
              <w:t xml:space="preserve">169523, РК, Сосногорский </w:t>
            </w:r>
            <w:proofErr w:type="spellStart"/>
            <w:r w:rsidRPr="00973DC4">
              <w:rPr>
                <w:color w:val="000000"/>
              </w:rPr>
              <w:t>р-он</w:t>
            </w:r>
            <w:proofErr w:type="spellEnd"/>
            <w:r w:rsidRPr="00973DC4">
              <w:rPr>
                <w:color w:val="000000"/>
              </w:rPr>
              <w:t>, Городское поселение «Нижний Одес», ул. Транспортная, д. 9</w:t>
            </w:r>
          </w:p>
        </w:tc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Адрес:____________________________________________________________________________________</w:t>
            </w: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 xml:space="preserve">ИНН: </w:t>
            </w:r>
            <w:r w:rsidRPr="00973DC4">
              <w:rPr>
                <w:color w:val="000000"/>
              </w:rPr>
              <w:t>1108015607</w:t>
            </w:r>
          </w:p>
        </w:tc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 xml:space="preserve">КПП: </w:t>
            </w:r>
            <w:r w:rsidRPr="00973DC4">
              <w:rPr>
                <w:color w:val="000000"/>
              </w:rPr>
              <w:t>110801001</w:t>
            </w:r>
          </w:p>
        </w:tc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 xml:space="preserve">Код ОКПО: </w:t>
            </w:r>
            <w:r w:rsidRPr="00973DC4">
              <w:rPr>
                <w:color w:val="000000"/>
              </w:rPr>
              <w:t>77892240</w:t>
            </w:r>
          </w:p>
        </w:tc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973DC4">
              <w:rPr>
                <w:b/>
                <w:bCs/>
                <w:color w:val="000000"/>
              </w:rPr>
              <w:t>Документ,удостоверяющий</w:t>
            </w:r>
            <w:proofErr w:type="spellEnd"/>
            <w:r w:rsidRPr="00973DC4">
              <w:rPr>
                <w:b/>
                <w:bCs/>
                <w:color w:val="000000"/>
              </w:rPr>
              <w:t xml:space="preserve"> личность:____________________________________</w:t>
            </w: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 xml:space="preserve">Код ОГРН: </w:t>
            </w:r>
            <w:r w:rsidRPr="00973DC4">
              <w:rPr>
                <w:color w:val="000000"/>
              </w:rPr>
              <w:t>1051100823608</w:t>
            </w:r>
          </w:p>
        </w:tc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_____________________________________________</w:t>
            </w: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 xml:space="preserve">Телефон: </w:t>
            </w:r>
            <w:r w:rsidRPr="00973DC4">
              <w:rPr>
                <w:color w:val="000000"/>
              </w:rPr>
              <w:t>8 (2149) 2-09-19</w:t>
            </w:r>
          </w:p>
        </w:tc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 xml:space="preserve">Р/с: </w:t>
            </w:r>
            <w:r w:rsidRPr="00973DC4">
              <w:rPr>
                <w:color w:val="000000"/>
              </w:rPr>
              <w:t>407 028 100 281 901 062 54</w:t>
            </w:r>
          </w:p>
        </w:tc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ИНН________________________________________</w:t>
            </w: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 xml:space="preserve">БИК: </w:t>
            </w:r>
            <w:r w:rsidRPr="00973DC4">
              <w:rPr>
                <w:color w:val="000000"/>
              </w:rPr>
              <w:t>048 702 640</w:t>
            </w:r>
          </w:p>
        </w:tc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К/с:</w:t>
            </w:r>
            <w:r w:rsidRPr="00973DC4">
              <w:rPr>
                <w:color w:val="000000"/>
              </w:rPr>
              <w:t xml:space="preserve"> 301 018 104 000 000 006 40</w:t>
            </w:r>
          </w:p>
        </w:tc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 xml:space="preserve">Банк: </w:t>
            </w:r>
            <w:r w:rsidRPr="00973DC4">
              <w:rPr>
                <w:color w:val="000000"/>
              </w:rPr>
              <w:t xml:space="preserve">Коми ОСБ 86/17 г. Сыктывкар </w:t>
            </w:r>
          </w:p>
        </w:tc>
        <w:tc>
          <w:tcPr>
            <w:tcW w:w="110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jc w:val="both"/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 xml:space="preserve">(Подпись, Ф.И.О. полностью, заполняется лично) </w:t>
            </w: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rPr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29" w:rsidRPr="00973DC4" w:rsidRDefault="002E2229" w:rsidP="002E22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29" w:rsidRPr="00973DC4" w:rsidRDefault="002E2229" w:rsidP="002E22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29" w:rsidRPr="00973DC4" w:rsidRDefault="002E2229" w:rsidP="002E2229">
            <w:pPr>
              <w:rPr>
                <w:rFonts w:ascii="Calibri" w:hAnsi="Calibri"/>
                <w:color w:val="000000"/>
              </w:rPr>
            </w:pP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 xml:space="preserve">Директор ___________ </w:t>
            </w:r>
            <w:proofErr w:type="spellStart"/>
            <w:r w:rsidRPr="00973DC4">
              <w:rPr>
                <w:b/>
                <w:bCs/>
                <w:color w:val="000000"/>
              </w:rPr>
              <w:t>Л.П.Милевская</w:t>
            </w:r>
            <w:proofErr w:type="spellEnd"/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29" w:rsidRPr="00973DC4" w:rsidRDefault="002E2229" w:rsidP="002E22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29" w:rsidRPr="00973DC4" w:rsidRDefault="002E2229" w:rsidP="002E22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29" w:rsidRPr="00973DC4" w:rsidRDefault="002E2229" w:rsidP="002E2229">
            <w:pPr>
              <w:rPr>
                <w:rFonts w:ascii="Calibri" w:hAnsi="Calibri"/>
                <w:color w:val="000000"/>
              </w:rPr>
            </w:pPr>
          </w:p>
        </w:tc>
      </w:tr>
      <w:tr w:rsidR="002E2229" w:rsidRPr="00973DC4" w:rsidTr="000B61AA">
        <w:trPr>
          <w:gridAfter w:val="3"/>
          <w:wAfter w:w="6665" w:type="dxa"/>
          <w:trHeight w:val="300"/>
        </w:trPr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rPr>
                <w:b/>
                <w:bCs/>
                <w:color w:val="000000"/>
              </w:rPr>
            </w:pPr>
            <w:r w:rsidRPr="00973DC4">
              <w:rPr>
                <w:b/>
                <w:bCs/>
                <w:color w:val="000000"/>
              </w:rPr>
              <w:t>м.п.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229" w:rsidRPr="00973DC4" w:rsidRDefault="002E2229" w:rsidP="002E2229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29" w:rsidRPr="00973DC4" w:rsidRDefault="002E2229" w:rsidP="002E2229">
            <w:pPr>
              <w:rPr>
                <w:color w:val="000000"/>
              </w:rPr>
            </w:pPr>
          </w:p>
        </w:tc>
        <w:tc>
          <w:tcPr>
            <w:tcW w:w="9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229" w:rsidRPr="00973DC4" w:rsidRDefault="002E2229" w:rsidP="002E2229">
            <w:pPr>
              <w:rPr>
                <w:color w:val="000000"/>
              </w:rPr>
            </w:pPr>
          </w:p>
        </w:tc>
      </w:tr>
      <w:tr w:rsidR="002E2229" w:rsidRPr="002E2229" w:rsidTr="000B61AA">
        <w:trPr>
          <w:trHeight w:val="300"/>
        </w:trPr>
        <w:tc>
          <w:tcPr>
            <w:tcW w:w="5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2E2229" w:rsidRDefault="002E2229" w:rsidP="002E222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2E2229" w:rsidRDefault="002E2229" w:rsidP="002E222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2E2229" w:rsidRDefault="002E2229" w:rsidP="002E222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29" w:rsidRPr="002E2229" w:rsidRDefault="002E2229" w:rsidP="002E2229">
            <w:pPr>
              <w:spacing w:line="240" w:lineRule="auto"/>
              <w:jc w:val="right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</w:tr>
    </w:tbl>
    <w:p w:rsidR="002E2229" w:rsidRDefault="002E2229">
      <w:pPr>
        <w:sectPr w:rsidR="002E2229" w:rsidSect="002E4562">
          <w:pgSz w:w="11906" w:h="16838"/>
          <w:pgMar w:top="993" w:right="850" w:bottom="850" w:left="1134" w:header="708" w:footer="708" w:gutter="0"/>
          <w:cols w:space="708"/>
          <w:docGrid w:linePitch="360"/>
        </w:sectPr>
      </w:pPr>
    </w:p>
    <w:p w:rsidR="002E2229" w:rsidRDefault="002E2229"/>
    <w:p w:rsidR="002E2229" w:rsidRDefault="002E2229"/>
    <w:p w:rsidR="002E2229" w:rsidRDefault="002E2229"/>
    <w:p w:rsidR="001A2D48" w:rsidRDefault="001A2D48"/>
    <w:sectPr w:rsidR="001A2D48" w:rsidSect="002E4562">
      <w:type w:val="continuous"/>
      <w:pgSz w:w="11906" w:h="16838"/>
      <w:pgMar w:top="993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E2229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B61AA"/>
    <w:rsid w:val="000C0188"/>
    <w:rsid w:val="000C07FE"/>
    <w:rsid w:val="000C267D"/>
    <w:rsid w:val="000C514E"/>
    <w:rsid w:val="000C5B8A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547A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2D48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2229"/>
    <w:rsid w:val="002E4562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108E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3992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609"/>
    <w:rsid w:val="00634B8F"/>
    <w:rsid w:val="00635298"/>
    <w:rsid w:val="00635501"/>
    <w:rsid w:val="0064149B"/>
    <w:rsid w:val="0064153E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6574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22AF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080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6F2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6BB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28C4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5681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961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5DF3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34EB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E59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D4B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2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E2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-odes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Теплосервис</Company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2014-04-22T14:05:00Z</cp:lastPrinted>
  <dcterms:created xsi:type="dcterms:W3CDTF">2014-07-02T13:27:00Z</dcterms:created>
  <dcterms:modified xsi:type="dcterms:W3CDTF">2014-07-02T13:27:00Z</dcterms:modified>
</cp:coreProperties>
</file>