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4D" w:rsidRDefault="00E06E74">
      <w:pPr>
        <w:rPr>
          <w:b/>
          <w:color w:val="0000FF"/>
          <w:u w:val="single"/>
        </w:rPr>
      </w:pPr>
      <w:r w:rsidRPr="00E06E74">
        <w:rPr>
          <w:b/>
          <w:color w:val="0000FF"/>
          <w:u w:val="single"/>
        </w:rPr>
        <w:t>Общие сведения об организации</w:t>
      </w:r>
      <w:r w:rsidR="00A241B6">
        <w:rPr>
          <w:b/>
          <w:color w:val="0000FF"/>
          <w:u w:val="single"/>
        </w:rPr>
        <w:t xml:space="preserve"> ООО «Жилсервис»</w:t>
      </w:r>
    </w:p>
    <w:p w:rsidR="00E06E74" w:rsidRPr="00E06E74" w:rsidRDefault="00E06E74" w:rsidP="00E06E74">
      <w:pPr>
        <w:ind w:firstLine="142"/>
        <w:rPr>
          <w:b/>
          <w:color w:val="0000FF"/>
          <w:u w:val="single"/>
        </w:rPr>
      </w:pPr>
    </w:p>
    <w:tbl>
      <w:tblPr>
        <w:tblW w:w="15899" w:type="dxa"/>
        <w:tblInd w:w="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478"/>
        <w:gridCol w:w="99"/>
        <w:gridCol w:w="7458"/>
        <w:gridCol w:w="281"/>
        <w:gridCol w:w="284"/>
        <w:gridCol w:w="731"/>
        <w:gridCol w:w="284"/>
      </w:tblGrid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Полное наименование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Общество с ограниченной ответственностью Жилсервис</w:t>
            </w: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Краткое наименование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ООО Жилсервис</w:t>
            </w: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Организационная форма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Общества с ограниченной ответственностью (1 21 65)</w:t>
            </w: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Руководитель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Шершнёва Екатерина Геннадьевна, Директор</w:t>
            </w: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ИНН (подробную информацию по ИНН</w:t>
            </w:r>
            <w:r w:rsidRPr="00E06E74">
              <w:rPr>
                <w:rFonts w:ascii="Arial" w:hAnsi="Arial" w:cs="Arial"/>
                <w:color w:val="717171"/>
                <w:sz w:val="20"/>
              </w:rPr>
              <w:t> </w:t>
            </w: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br/>
              <w:t>можно получить на сайте http://egrul.nalog.ru/)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1108017925</w:t>
            </w: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1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35"/>
              <w:gridCol w:w="8400"/>
            </w:tblGrid>
            <w:tr w:rsidR="00E06E74" w:rsidRPr="00E06E74" w:rsidTr="00E06E74"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ОГРН или ОГРНИП </w:t>
                  </w:r>
                </w:p>
              </w:tc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 w:rsidTr="00E06E74">
              <w:tc>
                <w:tcPr>
                  <w:tcW w:w="6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8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1081108000148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vanish/>
                <w:color w:val="717171"/>
                <w:sz w:val="20"/>
                <w:szCs w:val="20"/>
              </w:rPr>
            </w:pPr>
          </w:p>
          <w:tbl>
            <w:tblPr>
              <w:tblW w:w="151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Дата присвоения ОГРН (ОГРНИП)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646464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646464"/>
                    </w:rPr>
                  </w:pPr>
                  <w:r w:rsidRPr="00E06E74">
                    <w:rPr>
                      <w:color w:val="646464"/>
                      <w:shd w:val="clear" w:color="auto" w:fill="FFFFFF"/>
                    </w:rPr>
                    <w:t>11.08.2011</w:t>
                  </w:r>
                </w:p>
              </w:tc>
            </w:tr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Наименование органа, принявшего решение о регистрации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646464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646464"/>
                    </w:rPr>
                  </w:pPr>
                  <w:r w:rsidRPr="00E06E74">
                    <w:rPr>
                      <w:color w:val="646464"/>
                      <w:shd w:val="clear" w:color="auto" w:fill="FFFFFF"/>
                    </w:rPr>
                    <w:t>Межрайонная инспекция Федеральной налоговой службы № 4 по Республике Коми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Юридический адрес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proofErr w:type="spellStart"/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. Коми, г. Сосногорск, пгт. Нижний Одес, ул. Ленина, д. 16, к. 47</w:t>
            </w: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Фактический адрес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proofErr w:type="spellStart"/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. Коми, г. Сосногорск, пгт. Нижний Одес, ул. Транспортная, д. 9</w:t>
            </w: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Почтовый адрес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proofErr w:type="spellStart"/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Респ</w:t>
            </w:r>
            <w:proofErr w:type="spellEnd"/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. Коми, г. Сосногорск, пгт. Нижний Одес, ул. Транспортная, д. 9</w:t>
            </w: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Режим работы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часы работы УК ООО "Жилсервис":понедельник-пятница, вр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емя работы: 8.00-17.00; перерыв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: 12.00-13.00 Абонентский отдел: понедельник-пятница: 8.00-17.00 без перерыва</w:t>
            </w: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Телефон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8(82149)20919</w:t>
            </w: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Электронный адрес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zhilfond@ts-odes.lgg.ru</w:t>
            </w: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Интернет сайт 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proofErr w:type="spellStart"/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www.ts-odes.ru</w:t>
            </w:r>
            <w:proofErr w:type="spellEnd"/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Доля участия в уставном капитале Субъекта РФ, %</w:t>
            </w: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gridAfter w:val="4"/>
          <w:wBefore w:w="284" w:type="dxa"/>
          <w:wAfter w:w="1580" w:type="dxa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0.00</w:t>
            </w: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Доля участия в уставном капитале муниципального образования, %</w:t>
            </w: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0.00</w:t>
            </w: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1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Дополнительная </w:t>
            </w:r>
            <w:proofErr w:type="spellStart"/>
            <w:r w:rsidRPr="00E06E74">
              <w:rPr>
                <w:rFonts w:ascii="Arial" w:hAnsi="Arial" w:cs="Arial"/>
                <w:b/>
                <w:bCs/>
                <w:color w:val="000000"/>
                <w:sz w:val="20"/>
              </w:rPr>
              <w:t>информация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Единая</w:t>
            </w:r>
            <w:proofErr w:type="spellEnd"/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 диспетчерская служба 22-333</w:t>
            </w: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Субъектов РФ, в которых организация осуществляет свою деятельность</w:t>
            </w: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муниципальных образований, в которых организация осуществляет свою деятельность</w:t>
            </w: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офисов обслуживания граждан</w:t>
            </w: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E06E74" w:rsidRPr="00E06E74" w:rsidTr="00E06E74">
        <w:trPr>
          <w:gridAfter w:val="1"/>
          <w:wAfter w:w="284" w:type="dxa"/>
        </w:trPr>
        <w:tc>
          <w:tcPr>
            <w:tcW w:w="1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Штатная численность на отчетную дату, чел.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>
                    <w:rPr>
                      <w:color w:val="717171"/>
                      <w:shd w:val="clear" w:color="auto" w:fill="FFFFFF"/>
                    </w:rPr>
                    <w:t xml:space="preserve">  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44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After w:val="1"/>
          <w:wAfter w:w="284" w:type="dxa"/>
        </w:trPr>
        <w:tc>
          <w:tcPr>
            <w:tcW w:w="1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Уволено за отчетный период, чел.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>
                    <w:rPr>
                      <w:color w:val="717171"/>
                      <w:shd w:val="clear" w:color="auto" w:fill="FFFFFF"/>
                    </w:rPr>
                    <w:t xml:space="preserve">  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5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Число несчастных случаев за отчетный период</w:t>
            </w: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A241B6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Число случаев привлечения</w:t>
            </w: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br/>
              <w:t>организации к административной ответственности </w:t>
            </w: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E06E74" w:rsidRPr="00E06E74" w:rsidTr="00A241B6">
        <w:trPr>
          <w:gridBefore w:val="1"/>
          <w:gridAfter w:val="2"/>
          <w:wBefore w:w="284" w:type="dxa"/>
          <w:wAfter w:w="1015" w:type="dxa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A241B6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</w:rPr>
              <w:t>Копии документов о применении мер административного воздействия,</w:t>
            </w:r>
            <w:r w:rsidRPr="00E06E74">
              <w:rPr>
                <w:rFonts w:ascii="Arial" w:hAnsi="Arial" w:cs="Arial"/>
                <w:color w:val="717171"/>
                <w:sz w:val="20"/>
                <w:szCs w:val="20"/>
              </w:rPr>
              <w:br/>
            </w:r>
            <w:r w:rsidRPr="00E06E74">
              <w:rPr>
                <w:rFonts w:ascii="Arial" w:hAnsi="Arial" w:cs="Arial"/>
                <w:color w:val="717171"/>
                <w:sz w:val="20"/>
              </w:rPr>
              <w:t>а также мер, принятых для устранения нарушений, </w:t>
            </w:r>
            <w:r w:rsidRPr="00E06E74">
              <w:rPr>
                <w:rFonts w:ascii="Arial" w:hAnsi="Arial" w:cs="Arial"/>
                <w:color w:val="717171"/>
                <w:sz w:val="20"/>
                <w:szCs w:val="20"/>
              </w:rPr>
              <w:br/>
            </w:r>
            <w:r w:rsidRPr="00E06E74">
              <w:rPr>
                <w:rFonts w:ascii="Arial" w:hAnsi="Arial" w:cs="Arial"/>
                <w:color w:val="717171"/>
                <w:sz w:val="20"/>
              </w:rPr>
              <w:t>повлекших применение административных санкций </w:t>
            </w:r>
            <w:r w:rsidR="00A241B6">
              <w:rPr>
                <w:rFonts w:ascii="Arial" w:hAnsi="Arial" w:cs="Arial"/>
                <w:color w:val="717171"/>
                <w:sz w:val="20"/>
              </w:rPr>
              <w:t>- прилагаются</w:t>
            </w:r>
          </w:p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646464"/>
                <w:sz w:val="20"/>
                <w:szCs w:val="20"/>
              </w:rPr>
              <w:t>27.03.2014 Постановление № 7 Государственной жилищной инспекция Республики Коми. Предмет: Содержание зданий и сооружений и их территорий в зимний период, на предмет очистки крыш от наледи и сосулек МКД. Административный штраф в размере 4000 руб. Штраф оплачен 16.05.2014 г. в сумме 4000 руб.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</w:rPr>
              <w:br/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</w:rPr>
              <w:br/>
              <w:t xml:space="preserve">27.03.2014 Постановление № 5 </w:t>
            </w:r>
            <w:proofErr w:type="spellStart"/>
            <w:r w:rsidRPr="00E06E74">
              <w:rPr>
                <w:rFonts w:ascii="Arial" w:hAnsi="Arial" w:cs="Arial"/>
                <w:color w:val="646464"/>
                <w:sz w:val="20"/>
                <w:szCs w:val="20"/>
              </w:rPr>
              <w:t>Государсивенной</w:t>
            </w:r>
            <w:proofErr w:type="spellEnd"/>
            <w:r w:rsidRPr="00E06E74">
              <w:rPr>
                <w:rFonts w:ascii="Arial" w:hAnsi="Arial" w:cs="Arial"/>
                <w:color w:val="646464"/>
                <w:sz w:val="20"/>
                <w:szCs w:val="20"/>
              </w:rPr>
              <w:t xml:space="preserve"> жилищной инспекция Республики Коми Предмет: Рассмотрение обращения жильца кв.116 МКД №1 по ул. Пионерская, на ненормативную температуру ГВС. Административный штраф в размере 500 руб. Штраф оплачен 16.05.2014 г. в сумме 500 руб.</w:t>
            </w:r>
          </w:p>
          <w:p w:rsidR="00E06E74" w:rsidRPr="00E06E74" w:rsidRDefault="00E06E74" w:rsidP="00A241B6">
            <w:pPr>
              <w:shd w:val="clear" w:color="auto" w:fill="FAFAFA"/>
              <w:spacing w:line="244" w:lineRule="atLeast"/>
              <w:jc w:val="left"/>
              <w:rPr>
                <w:rFonts w:ascii="Arial" w:hAnsi="Arial" w:cs="Arial"/>
                <w:color w:val="B4B4B4"/>
                <w:sz w:val="20"/>
                <w:szCs w:val="20"/>
              </w:rPr>
            </w:pPr>
          </w:p>
        </w:tc>
      </w:tr>
      <w:tr w:rsidR="00E06E74" w:rsidRPr="00E06E74" w:rsidTr="00A241B6">
        <w:trPr>
          <w:gridBefore w:val="1"/>
          <w:wBefore w:w="284" w:type="dxa"/>
        </w:trPr>
        <w:tc>
          <w:tcPr>
            <w:tcW w:w="1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A241B6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 w:rsidRPr="00A241B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 Число жителей в обслуживаемых домах </w:t>
            </w:r>
            <w:r w:rsidR="00A241B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5757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A241B6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</w:p>
        </w:tc>
      </w:tr>
      <w:tr w:rsidR="00E06E74" w:rsidRPr="00E06E74" w:rsidTr="00A241B6">
        <w:trPr>
          <w:gridBefore w:val="1"/>
          <w:wBefore w:w="284" w:type="dxa"/>
        </w:trPr>
        <w:tc>
          <w:tcPr>
            <w:tcW w:w="1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A241B6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1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A241B6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Количество домов под управлением на отчетную дату </w:t>
                  </w:r>
                  <w:r w:rsidRPr="00E06E74">
                    <w:rPr>
                      <w:color w:val="717171"/>
                    </w:rPr>
                    <w:t> 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A241B6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32</w:t>
                  </w:r>
                  <w:r w:rsidRPr="00E06E74">
                    <w:rPr>
                      <w:color w:val="717171"/>
                    </w:rPr>
                    <w:t> 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1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Количество домов под управлением на начало периода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33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1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lastRenderedPageBreak/>
                    <w:t>Общая площадь домов под управлением на отчетную дату, включая жилые и нежилые помещения, а также помещения общего пользования, тыс.кв.м. </w:t>
                  </w: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b/>
                      <w:bCs/>
                      <w:color w:val="278BD3"/>
                      <w:sz w:val="12"/>
                      <w:szCs w:val="12"/>
                      <w:bdr w:val="single" w:sz="6" w:space="2" w:color="278BD3" w:frame="1"/>
                      <w:shd w:val="clear" w:color="auto" w:fill="FFFFFF"/>
                      <w:vertAlign w:val="superscript"/>
                    </w:rPr>
                    <w:t>731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114347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1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Площадь домов под управлением на начало периода, тыс.кв.м.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121497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E06E74">
        <w:trPr>
          <w:gridBefore w:val="1"/>
          <w:wBefore w:w="284" w:type="dxa"/>
        </w:trPr>
        <w:tc>
          <w:tcPr>
            <w:tcW w:w="1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Средний срок обслуживания МКД, лет</w:t>
                  </w: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 w:rsidT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4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</w:tbl>
    <w:p w:rsidR="00E06E74" w:rsidRPr="00E06E74" w:rsidRDefault="00E06E74">
      <w:pPr>
        <w:rPr>
          <w:b/>
          <w:color w:val="0000FF"/>
          <w:u w:val="single"/>
        </w:rPr>
      </w:pPr>
      <w:r w:rsidRPr="00E06E74">
        <w:rPr>
          <w:b/>
          <w:color w:val="0000FF"/>
          <w:u w:val="single"/>
        </w:rPr>
        <w:t>Основные финансовые показатели</w:t>
      </w:r>
    </w:p>
    <w:tbl>
      <w:tblPr>
        <w:tblW w:w="15615" w:type="dxa"/>
        <w:tblInd w:w="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19"/>
        <w:gridCol w:w="496"/>
      </w:tblGrid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A241B6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Доходы, полученные за оказание услуг по управлению многоквартирными домами, тыс.руб. </w:t>
                  </w:r>
                  <w:r w:rsidRPr="00E06E74">
                    <w:rPr>
                      <w:color w:val="71717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34005.44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Сумма доходов, полученных от использования общего имущества за отчетный период, тыс.руб.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545.5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Доход, полученный за отчетный период от предоставления коммунальных услуг без учета коммунальных ресурсов, поставленных потребителям непосредственно поставщиками по прямым договорам, тыс.руб.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0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A241B6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Расходы, полученные в связи с оказанием услуг по управлению многоквартирными домами, тыс.руб. </w:t>
                  </w:r>
                  <w:r w:rsidRPr="00E06E74">
                    <w:rPr>
                      <w:color w:val="71717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35133.578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Выплаты по искам по договорам управления за отчетный период, тыс.руб.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0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 xml:space="preserve">Выплаты по искам </w:t>
                  </w:r>
                  <w:proofErr w:type="spellStart"/>
                  <w:r w:rsidRPr="00E06E74">
                    <w:rPr>
                      <w:color w:val="717171"/>
                      <w:shd w:val="clear" w:color="auto" w:fill="FFFFFF"/>
                    </w:rPr>
                    <w:t>ресурсоснабжающих</w:t>
                  </w:r>
                  <w:proofErr w:type="spellEnd"/>
                  <w:r w:rsidRPr="00E06E74">
                    <w:rPr>
                      <w:color w:val="717171"/>
                      <w:shd w:val="clear" w:color="auto" w:fill="FFFFFF"/>
                    </w:rPr>
                    <w:t xml:space="preserve"> организаций за отчетный период, тыс.руб.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A241B6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>
                    <w:rPr>
                      <w:color w:val="717171"/>
                    </w:rPr>
                    <w:t>0</w:t>
                  </w: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Чистые активы УО, тыс.руб.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righ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4" w:rsidRPr="00E06E74" w:rsidRDefault="00E06E74" w:rsidP="00A241B6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B4B4B4"/>
                <w:sz w:val="20"/>
                <w:szCs w:val="20"/>
                <w:shd w:val="clear" w:color="auto" w:fill="FFFFFF"/>
              </w:rPr>
            </w:pPr>
            <w:r w:rsidRPr="00E06E74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Годовая бухгалтерская отчетность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копия бухгалтерского баланса и приложения к нему за 2014г. ООО Жилсервис прилага</w:t>
            </w:r>
            <w:r w:rsidR="00A241B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е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тся</w:t>
            </w:r>
            <w:r w:rsidRPr="00E06E74">
              <w:rPr>
                <w:rFonts w:ascii="Arial" w:hAnsi="Arial" w:cs="Arial"/>
                <w:color w:val="646464"/>
                <w:sz w:val="20"/>
              </w:rPr>
              <w:t>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 w:rsidRPr="00E06E74">
              <w:rPr>
                <w:rFonts w:ascii="Arial" w:hAnsi="Arial" w:cs="Arial"/>
                <w:color w:val="717171"/>
                <w:sz w:val="20"/>
              </w:rPr>
              <w:t> </w:t>
            </w:r>
            <w:r w:rsidRPr="00E06E74">
              <w:rPr>
                <w:rFonts w:ascii="Arial" w:hAnsi="Arial" w:cs="Arial"/>
                <w:b/>
                <w:bCs/>
                <w:color w:val="000000"/>
                <w:sz w:val="20"/>
              </w:rPr>
              <w:t>Сметы доходов и расходов</w:t>
            </w:r>
            <w:r w:rsidRPr="00E06E74">
              <w:rPr>
                <w:rFonts w:ascii="Arial" w:hAnsi="Arial" w:cs="Arial"/>
                <w:color w:val="646464"/>
                <w:sz w:val="20"/>
              </w:rPr>
              <w:t> </w:t>
            </w:r>
            <w:r w:rsidR="00A241B6">
              <w:rPr>
                <w:rFonts w:ascii="Arial" w:hAnsi="Arial" w:cs="Arial"/>
                <w:color w:val="646464"/>
                <w:sz w:val="20"/>
              </w:rPr>
              <w:t>прилагаются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br/>
            </w:r>
          </w:p>
          <w:p w:rsidR="00E06E74" w:rsidRPr="00E06E74" w:rsidRDefault="00E06E74" w:rsidP="00A241B6">
            <w:pPr>
              <w:shd w:val="clear" w:color="auto" w:fill="FAFAFA"/>
              <w:spacing w:line="244" w:lineRule="atLeast"/>
              <w:ind w:left="555" w:firstLine="0"/>
              <w:jc w:val="left"/>
              <w:rPr>
                <w:rFonts w:ascii="Arial" w:hAnsi="Arial" w:cs="Arial"/>
                <w:color w:val="B4B4B4"/>
                <w:sz w:val="20"/>
                <w:szCs w:val="20"/>
                <w:shd w:val="clear" w:color="auto" w:fill="FFFFFF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 w:rsidRPr="00E06E74">
              <w:rPr>
                <w:rFonts w:ascii="Arial" w:hAnsi="Arial" w:cs="Arial"/>
                <w:color w:val="717171"/>
                <w:sz w:val="20"/>
              </w:rPr>
              <w:t> </w:t>
            </w:r>
            <w:r w:rsidRPr="00E06E74">
              <w:rPr>
                <w:rFonts w:ascii="Arial" w:hAnsi="Arial" w:cs="Arial"/>
                <w:b/>
                <w:bCs/>
                <w:color w:val="000000"/>
                <w:sz w:val="20"/>
              </w:rPr>
              <w:t>Отчет о выполнении сметы доходов и расходов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прилагаются</w:t>
            </w:r>
            <w:r w:rsidRPr="00E06E74">
              <w:rPr>
                <w:rFonts w:ascii="Arial" w:hAnsi="Arial" w:cs="Arial"/>
                <w:color w:val="646464"/>
                <w:sz w:val="20"/>
              </w:rPr>
              <w:t>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br/>
            </w:r>
          </w:p>
          <w:p w:rsidR="00E06E74" w:rsidRPr="00E06E74" w:rsidRDefault="00E06E74" w:rsidP="00A241B6">
            <w:pPr>
              <w:shd w:val="clear" w:color="auto" w:fill="FAFAFA"/>
              <w:spacing w:line="244" w:lineRule="atLeast"/>
              <w:ind w:left="555" w:firstLine="0"/>
              <w:jc w:val="left"/>
              <w:rPr>
                <w:rFonts w:ascii="Arial" w:hAnsi="Arial" w:cs="Arial"/>
                <w:color w:val="B4B4B4"/>
                <w:sz w:val="20"/>
                <w:szCs w:val="20"/>
                <w:shd w:val="clear" w:color="auto" w:fill="FFFFFF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4" w:rsidRPr="00E06E74" w:rsidRDefault="00E06E74" w:rsidP="00A241B6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</w:rPr>
              <w:t> </w:t>
            </w:r>
            <w:r w:rsidRPr="00E06E74">
              <w:rPr>
                <w:rFonts w:ascii="Arial" w:hAnsi="Arial" w:cs="Arial"/>
                <w:b/>
                <w:bCs/>
                <w:color w:val="000000"/>
                <w:sz w:val="20"/>
              </w:rPr>
              <w:t>Заключения ревизионной комиссии (ревизора) товарищества или кооператива по результатам проверки годовой бухгалтерской (финансовой) отчетности 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</w:t>
            </w:r>
            <w:r w:rsidRPr="00E06E74">
              <w:rPr>
                <w:rFonts w:ascii="Arial" w:hAnsi="Arial" w:cs="Arial"/>
                <w:color w:val="646464"/>
                <w:sz w:val="20"/>
              </w:rPr>
              <w:t>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4" w:rsidRPr="00E06E74" w:rsidRDefault="00E06E74" w:rsidP="00A241B6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  <w:r w:rsidRPr="00E06E74">
              <w:rPr>
                <w:rFonts w:ascii="Arial" w:hAnsi="Arial" w:cs="Arial"/>
                <w:color w:val="717171"/>
                <w:sz w:val="20"/>
              </w:rPr>
              <w:t> </w:t>
            </w:r>
            <w:r w:rsidRPr="00E06E74">
              <w:rPr>
                <w:rFonts w:ascii="Arial" w:hAnsi="Arial" w:cs="Arial"/>
                <w:b/>
                <w:bCs/>
                <w:color w:val="000000"/>
                <w:sz w:val="20"/>
              </w:rPr>
              <w:t>Аудиторские заключения 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аудиторской проверки не</w:t>
            </w:r>
            <w:r w:rsidR="00A241B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 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было</w:t>
            </w:r>
            <w:r w:rsidRPr="00E06E74">
              <w:rPr>
                <w:rFonts w:ascii="Arial" w:hAnsi="Arial" w:cs="Arial"/>
                <w:color w:val="646464"/>
                <w:sz w:val="20"/>
              </w:rPr>
              <w:t> </w:t>
            </w:r>
          </w:p>
        </w:tc>
      </w:tr>
    </w:tbl>
    <w:p w:rsidR="00E06E74" w:rsidRPr="00E06E74" w:rsidRDefault="00E06E74">
      <w:pPr>
        <w:rPr>
          <w:b/>
          <w:color w:val="0000FF"/>
          <w:u w:val="single"/>
        </w:rPr>
      </w:pPr>
      <w:r w:rsidRPr="00E06E74">
        <w:rPr>
          <w:b/>
          <w:color w:val="0000FF"/>
          <w:u w:val="single"/>
        </w:rPr>
        <w:t>Задолженность</w:t>
      </w:r>
    </w:p>
    <w:tbl>
      <w:tblPr>
        <w:tblW w:w="15135" w:type="dxa"/>
        <w:tblInd w:w="240" w:type="dxa"/>
        <w:tblCellMar>
          <w:left w:w="0" w:type="dxa"/>
          <w:right w:w="0" w:type="dxa"/>
        </w:tblCellMar>
        <w:tblLook w:val="04A0"/>
      </w:tblPr>
      <w:tblGrid>
        <w:gridCol w:w="13197"/>
        <w:gridCol w:w="2418"/>
      </w:tblGrid>
      <w:tr w:rsidR="00E06E74" w:rsidRPr="00E06E74">
        <w:trPr>
          <w:gridAfter w:val="1"/>
          <w:wAfter w:w="480" w:type="dxa"/>
        </w:trPr>
        <w:tc>
          <w:tcPr>
            <w:tcW w:w="0" w:type="auto"/>
            <w:vAlign w:val="center"/>
            <w:hideMark/>
          </w:tcPr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E06E74" w:rsidRPr="00E06E74"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Просроченная задолженность собственников помещений и иных лиц, пользующихся или проживающих в помещениях на законных основаниях, за оказанные услуги по управлению, накопленная за весь период обслуживания на отчетную дату,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9072.1</w:t>
                  </w:r>
                </w:p>
              </w:tc>
            </w:tr>
          </w:tbl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717171"/>
              </w:rPr>
            </w:pPr>
          </w:p>
        </w:tc>
      </w:tr>
      <w:tr w:rsidR="00E06E74" w:rsidRPr="00E06E74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717171"/>
              </w:rPr>
            </w:pPr>
            <w:r w:rsidRPr="00E06E74">
              <w:rPr>
                <w:b/>
                <w:bCs/>
                <w:color w:val="717171"/>
              </w:rPr>
              <w:t> </w:t>
            </w:r>
            <w:r w:rsidRPr="00E06E74">
              <w:rPr>
                <w:b/>
                <w:bCs/>
                <w:color w:val="717171"/>
                <w:shd w:val="clear" w:color="auto" w:fill="FFFFFF"/>
              </w:rPr>
              <w:t>Просроченная задолженность собственников помещений и иных лиц, пользующихся или проживающих в помещениях на законных основаниях, за оказанные услуги по управлению на начало отчетного периода, тыс.руб.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717171"/>
              </w:rPr>
            </w:pPr>
          </w:p>
        </w:tc>
      </w:tr>
      <w:tr w:rsidR="00E06E74" w:rsidRPr="00E06E74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4" w:rsidRPr="00E06E74" w:rsidRDefault="00E06E74" w:rsidP="00E06E74">
            <w:pPr>
              <w:spacing w:line="240" w:lineRule="auto"/>
              <w:ind w:firstLine="0"/>
              <w:jc w:val="right"/>
              <w:rPr>
                <w:b/>
                <w:bCs/>
                <w:color w:val="64646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646464"/>
              </w:rPr>
            </w:pPr>
            <w:r w:rsidRPr="00E06E74">
              <w:rPr>
                <w:b/>
                <w:bCs/>
                <w:color w:val="646464"/>
                <w:shd w:val="clear" w:color="auto" w:fill="FFFFFF"/>
              </w:rPr>
              <w:t>9808.30</w:t>
            </w:r>
          </w:p>
        </w:tc>
      </w:tr>
      <w:tr w:rsidR="00E06E74" w:rsidRPr="00E06E74"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Просроченная задолженность собственников помещений и иных лиц, пользующихся или проживающих в помещениях на законных основаниях, за коммунальные услуги, накопленная за весь период обслуживания на текущую дату,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0</w:t>
                  </w:r>
                </w:p>
              </w:tc>
            </w:tr>
          </w:tbl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717171"/>
              </w:rPr>
            </w:pPr>
          </w:p>
        </w:tc>
      </w:tr>
      <w:tr w:rsidR="00E06E74" w:rsidRPr="00E06E74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717171"/>
              </w:rPr>
            </w:pPr>
            <w:r w:rsidRPr="00E06E74">
              <w:rPr>
                <w:b/>
                <w:bCs/>
                <w:color w:val="717171"/>
              </w:rPr>
              <w:t> </w:t>
            </w:r>
            <w:r w:rsidRPr="00E06E74">
              <w:rPr>
                <w:b/>
                <w:bCs/>
                <w:color w:val="717171"/>
                <w:shd w:val="clear" w:color="auto" w:fill="FFFFFF"/>
              </w:rPr>
              <w:t>Просроченная задолженность собственников помещений и иных лиц, пользующихся или проживающих в помещениях на законных основаниях за коммунальные услуги на начало отчетного периода, тыс.руб.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717171"/>
              </w:rPr>
            </w:pPr>
          </w:p>
        </w:tc>
      </w:tr>
      <w:tr w:rsidR="00E06E74" w:rsidRPr="00E06E74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4" w:rsidRPr="00E06E74" w:rsidRDefault="00E06E74" w:rsidP="00E06E74">
            <w:pPr>
              <w:spacing w:line="240" w:lineRule="auto"/>
              <w:ind w:firstLine="0"/>
              <w:jc w:val="right"/>
              <w:rPr>
                <w:b/>
                <w:bCs/>
                <w:color w:val="64646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646464"/>
              </w:rPr>
            </w:pPr>
            <w:r w:rsidRPr="00E06E74">
              <w:rPr>
                <w:b/>
                <w:bCs/>
                <w:color w:val="646464"/>
                <w:shd w:val="clear" w:color="auto" w:fill="FFFFFF"/>
              </w:rPr>
              <w:t>0.00</w:t>
            </w:r>
          </w:p>
        </w:tc>
      </w:tr>
      <w:tr w:rsidR="00E06E74" w:rsidRPr="00E06E74"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lastRenderedPageBreak/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Просроченная задолженность организации за предоставленные коммунальные услуги, накопленная за весь период обслуживания на текущую дату,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0</w:t>
                  </w:r>
                </w:p>
              </w:tc>
            </w:tr>
          </w:tbl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717171"/>
              </w:rPr>
            </w:pPr>
          </w:p>
        </w:tc>
      </w:tr>
      <w:tr w:rsidR="00E06E74" w:rsidRPr="00E06E74"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Сумма взысканной за отчетный период просроченной задолженности собственников помещений и иных лиц, пользующихся или проживающих в помещениях на законных основаниях за услуги по управлению,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1550.5</w:t>
                  </w:r>
                </w:p>
              </w:tc>
            </w:tr>
          </w:tbl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717171"/>
              </w:rPr>
            </w:pPr>
          </w:p>
        </w:tc>
      </w:tr>
      <w:tr w:rsidR="00E06E74" w:rsidRPr="00E06E74">
        <w:tc>
          <w:tcPr>
            <w:tcW w:w="6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35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Сумма взысканной за отчетный период просроченной задолженности собственников помещений и иных лиц, пользующихся или проживающих в помещениях на законных основаниях за предоставленные коммунальные услуги, тыс.руб.</w:t>
                  </w:r>
                </w:p>
              </w:tc>
            </w:tr>
          </w:tbl>
          <w:p w:rsidR="00E06E74" w:rsidRPr="00E06E74" w:rsidRDefault="00E06E74" w:rsidP="00E06E74">
            <w:pPr>
              <w:spacing w:line="240" w:lineRule="auto"/>
              <w:ind w:firstLine="0"/>
              <w:jc w:val="left"/>
              <w:rPr>
                <w:b/>
                <w:bCs/>
                <w:color w:val="717171"/>
              </w:rPr>
            </w:pPr>
          </w:p>
        </w:tc>
      </w:tr>
    </w:tbl>
    <w:p w:rsidR="00E06E74" w:rsidRPr="00E06E74" w:rsidRDefault="00E06E74">
      <w:pPr>
        <w:rPr>
          <w:b/>
          <w:color w:val="0000FF"/>
          <w:u w:val="single"/>
        </w:rPr>
      </w:pPr>
      <w:r w:rsidRPr="00E06E74">
        <w:rPr>
          <w:b/>
          <w:color w:val="0000FF"/>
          <w:u w:val="single"/>
        </w:rPr>
        <w:t>Деятельность по управлению МКД</w:t>
      </w:r>
    </w:p>
    <w:tbl>
      <w:tblPr>
        <w:tblW w:w="15615" w:type="dxa"/>
        <w:tblInd w:w="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17"/>
        <w:gridCol w:w="1398"/>
      </w:tblGrid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Объем работ по ремонту за отчетный период,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12263.916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Объем работ по благоустройству за отчетный период,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12956.018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Объем привлеченных средств за отчетный период,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0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3120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80"/>
              <w:gridCol w:w="8640"/>
            </w:tblGrid>
            <w:tr w:rsidR="00E06E74" w:rsidRPr="00E06E74" w:rsidTr="00E06E74"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Оплачено КУ по показаниям общедомовых ПУ за отчетный период,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 w:rsidTr="00E06E74"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0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1513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5"/>
              <w:gridCol w:w="8640"/>
            </w:tblGrid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</w:rPr>
                    <w:t> </w:t>
                  </w:r>
                  <w:r w:rsidRPr="00E06E74">
                    <w:rPr>
                      <w:color w:val="717171"/>
                      <w:shd w:val="clear" w:color="auto" w:fill="FFFFFF"/>
                    </w:rPr>
                    <w:t>Оплачено КУ по счетам на общедомовые нужды за отчетный период, тыс.руб.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</w:p>
              </w:tc>
            </w:tr>
            <w:tr w:rsidR="00E06E74" w:rsidRPr="00E06E74"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right"/>
                    <w:rPr>
                      <w:color w:val="71717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E06E74" w:rsidRPr="00E06E74" w:rsidRDefault="00E06E74" w:rsidP="00E06E74">
                  <w:pPr>
                    <w:spacing w:line="240" w:lineRule="auto"/>
                    <w:ind w:firstLine="0"/>
                    <w:jc w:val="left"/>
                    <w:rPr>
                      <w:color w:val="717171"/>
                    </w:rPr>
                  </w:pPr>
                  <w:r w:rsidRPr="00E06E74">
                    <w:rPr>
                      <w:color w:val="717171"/>
                      <w:shd w:val="clear" w:color="auto" w:fill="FFFFFF"/>
                    </w:rPr>
                    <w:t>0</w:t>
                  </w:r>
                </w:p>
              </w:tc>
            </w:tr>
          </w:tbl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717171"/>
                <w:sz w:val="20"/>
                <w:szCs w:val="20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 w:rsidRPr="00E06E74">
              <w:rPr>
                <w:rFonts w:ascii="Arial" w:hAnsi="Arial" w:cs="Arial"/>
                <w:b/>
                <w:bCs/>
                <w:color w:val="000000"/>
                <w:sz w:val="20"/>
              </w:rPr>
              <w:t>Проект договора управления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проекты договоров управления МКД прилагаются</w:t>
            </w:r>
            <w:r w:rsidRPr="00E06E74">
              <w:rPr>
                <w:rFonts w:ascii="Arial" w:hAnsi="Arial" w:cs="Arial"/>
                <w:color w:val="646464"/>
                <w:sz w:val="20"/>
              </w:rPr>
              <w:t>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br/>
            </w:r>
          </w:p>
          <w:p w:rsidR="00E06E74" w:rsidRPr="00E06E74" w:rsidRDefault="00E06E74" w:rsidP="00A241B6">
            <w:pPr>
              <w:shd w:val="clear" w:color="auto" w:fill="FAFAFA"/>
              <w:spacing w:line="244" w:lineRule="atLeast"/>
              <w:ind w:left="555" w:firstLine="0"/>
              <w:jc w:val="left"/>
              <w:rPr>
                <w:rFonts w:ascii="Arial" w:hAnsi="Arial" w:cs="Arial"/>
                <w:color w:val="B4B4B4"/>
                <w:sz w:val="20"/>
                <w:szCs w:val="20"/>
                <w:shd w:val="clear" w:color="auto" w:fill="FFFFFF"/>
              </w:rPr>
            </w:pPr>
          </w:p>
        </w:tc>
      </w:tr>
      <w:tr w:rsidR="00E06E74" w:rsidRPr="00E06E74" w:rsidTr="00A241B6">
        <w:tc>
          <w:tcPr>
            <w:tcW w:w="1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 w:rsidRPr="00E06E74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Стоимость услуг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Сметы доходов и расходов УК ООО Жилсервис прилагаются</w:t>
            </w:r>
            <w:r w:rsidRPr="00E06E74">
              <w:rPr>
                <w:rFonts w:ascii="Arial" w:hAnsi="Arial" w:cs="Arial"/>
                <w:color w:val="646464"/>
                <w:sz w:val="20"/>
              </w:rPr>
              <w:t>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br/>
            </w:r>
          </w:p>
          <w:p w:rsidR="00E06E74" w:rsidRPr="00E06E74" w:rsidRDefault="00E06E74" w:rsidP="00A241B6">
            <w:pPr>
              <w:shd w:val="clear" w:color="auto" w:fill="FAFAFA"/>
              <w:spacing w:line="244" w:lineRule="atLeast"/>
              <w:ind w:left="555" w:firstLine="0"/>
              <w:jc w:val="left"/>
              <w:rPr>
                <w:rFonts w:ascii="Arial" w:hAnsi="Arial" w:cs="Arial"/>
                <w:color w:val="B4B4B4"/>
                <w:sz w:val="20"/>
                <w:szCs w:val="20"/>
                <w:shd w:val="clear" w:color="auto" w:fill="FFFFFF"/>
              </w:rPr>
            </w:pPr>
          </w:p>
        </w:tc>
      </w:tr>
      <w:tr w:rsidR="00E06E74" w:rsidRPr="00E06E74" w:rsidTr="00A241B6">
        <w:trPr>
          <w:gridAfter w:val="1"/>
          <w:wAfter w:w="1398" w:type="dxa"/>
        </w:trPr>
        <w:tc>
          <w:tcPr>
            <w:tcW w:w="14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E06E74" w:rsidRPr="00E06E74" w:rsidRDefault="00E06E74" w:rsidP="00E06E74">
            <w:pPr>
              <w:spacing w:line="244" w:lineRule="atLeast"/>
              <w:ind w:firstLine="0"/>
              <w:jc w:val="left"/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 w:rsidRPr="00E06E74">
              <w:rPr>
                <w:rFonts w:ascii="Arial" w:hAnsi="Arial" w:cs="Arial"/>
                <w:b/>
                <w:bCs/>
                <w:color w:val="000000"/>
                <w:sz w:val="20"/>
              </w:rPr>
              <w:t>Тарифы </w:t>
            </w:r>
            <w:r w:rsidR="00A241B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С 01.01.2015 г. для собственников и пользователей помещений МКД размер платы за содержание и текущий ремонт общего имущества в МКД, установлен в сумме: • 25,82 руб. на 1 кв.м. общей площади квартиры в месяц согласно приложению от 23.12.2014г. к договору управления от 15.06.2012г.: 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sym w:font="Symbol" w:char="F02D"/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ул. Ленина д.1;3;9а;11;13;16;18; 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sym w:font="Symbol" w:char="F02D"/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ул. Школьная д.2;3; 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sym w:font="Symbol" w:char="F02D"/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ул. Пионерская д. 1;2; 3;4;5;6;8;10; 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sym w:font="Symbol" w:char="F02D"/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ул. Юбилейная д.1;2;3; 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sym w:font="Symbol" w:char="F02D"/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ул. Комсомольская д.2;4;6; 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sym w:font="Symbol" w:char="F02D"/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ул. Молодежная д. 6а;7;19; 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sym w:font="Symbol" w:char="F02D"/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ул. Транспортная д.3; • 25,82 руб. на 1 кв.м. общей площади квартиры в месяц согласно приложению от 23.12.2014г. к договору управления от 01.08.2014г. : ул. Ленина д.10, 12. • 25,82 руб. на 1 кв.м. общей площади квартиры в месяц согласно приложению от 23.12.2014г. к договору управления от 01.12.2014г. : ул. Ленина д.10а. • 25,82 руб. на 1 кв.м. общей площади квартиры в месяц согласно приложению от 23.12.2014г. к договору управления от 01.07.2013г. : ул. Южная д.15. • 22,57 руб. на 1 кв.м. общей площади квартиры в месяц согласно приложению от 23.12.2014г. к договору управления от 01.08.2012г.: ул. Пионерская д. 9.</w:t>
            </w:r>
            <w:r w:rsidRPr="00E06E74">
              <w:rPr>
                <w:rFonts w:ascii="Arial" w:hAnsi="Arial" w:cs="Arial"/>
                <w:color w:val="646464"/>
                <w:sz w:val="20"/>
              </w:rPr>
              <w:t> </w:t>
            </w:r>
            <w:r w:rsidRPr="00E06E7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br/>
            </w:r>
          </w:p>
          <w:p w:rsidR="00E06E74" w:rsidRPr="00E06E74" w:rsidRDefault="00E06E74" w:rsidP="00A241B6">
            <w:pPr>
              <w:shd w:val="clear" w:color="auto" w:fill="FAFAFA"/>
              <w:spacing w:line="244" w:lineRule="atLeast"/>
              <w:ind w:left="555" w:firstLine="0"/>
              <w:jc w:val="left"/>
              <w:rPr>
                <w:rFonts w:ascii="Arial" w:hAnsi="Arial" w:cs="Arial"/>
                <w:color w:val="B4B4B4"/>
                <w:sz w:val="20"/>
                <w:szCs w:val="20"/>
                <w:shd w:val="clear" w:color="auto" w:fill="FFFFFF"/>
              </w:rPr>
            </w:pPr>
          </w:p>
        </w:tc>
      </w:tr>
    </w:tbl>
    <w:p w:rsidR="00E06E74" w:rsidRDefault="00E06E74"/>
    <w:sectPr w:rsidR="00E06E74" w:rsidSect="00E06E7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2208"/>
    <w:multiLevelType w:val="multilevel"/>
    <w:tmpl w:val="AC90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C0FB8"/>
    <w:multiLevelType w:val="multilevel"/>
    <w:tmpl w:val="8320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578FF"/>
    <w:multiLevelType w:val="multilevel"/>
    <w:tmpl w:val="677A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B189C"/>
    <w:multiLevelType w:val="multilevel"/>
    <w:tmpl w:val="9B32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03351"/>
    <w:multiLevelType w:val="multilevel"/>
    <w:tmpl w:val="CE9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150B7"/>
    <w:multiLevelType w:val="multilevel"/>
    <w:tmpl w:val="852C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3398F"/>
    <w:multiLevelType w:val="multilevel"/>
    <w:tmpl w:val="C460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06E74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012B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2FBA"/>
    <w:rsid w:val="007D5603"/>
    <w:rsid w:val="007D7280"/>
    <w:rsid w:val="007D7EA2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080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1B6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37F9D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06E74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E74"/>
  </w:style>
  <w:style w:type="character" w:customStyle="1" w:styleId="title">
    <w:name w:val="title"/>
    <w:basedOn w:val="a0"/>
    <w:rsid w:val="00E06E74"/>
  </w:style>
  <w:style w:type="character" w:styleId="a3">
    <w:name w:val="Hyperlink"/>
    <w:basedOn w:val="a0"/>
    <w:uiPriority w:val="99"/>
    <w:semiHidden/>
    <w:unhideWhenUsed/>
    <w:rsid w:val="00E06E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Теплосервис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2015-03-26T06:15:00Z</dcterms:created>
  <dcterms:modified xsi:type="dcterms:W3CDTF">2015-03-26T06:32:00Z</dcterms:modified>
</cp:coreProperties>
</file>