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6372" w:firstLine="708"/>
        <w:rPr>
          <w:b/>
        </w:rPr>
      </w:pPr>
      <w:r>
        <w:rPr>
          <w:b/>
        </w:rPr>
        <w:t>И З В Е Щ Е Н И Е</w:t>
      </w:r>
    </w:p>
    <w:p>
      <w:pPr>
        <w:jc w:val="center"/>
        <w:rPr>
          <w:b/>
        </w:rPr>
      </w:pPr>
      <w:r>
        <w:rPr>
          <w:b/>
        </w:rPr>
        <w:t>о проведении конкурса по отбору управляющих организаций</w:t>
      </w:r>
    </w:p>
    <w:p>
      <w:pPr>
        <w:jc w:val="center"/>
        <w:rPr>
          <w:b/>
        </w:rPr>
      </w:pPr>
      <w:r>
        <w:rPr>
          <w:b/>
        </w:rPr>
        <w:t xml:space="preserve"> для управления многоквартирными домами</w:t>
      </w:r>
    </w:p>
    <w:p>
      <w:pPr>
        <w:ind w:firstLine="540"/>
        <w:jc w:val="both"/>
      </w:pPr>
      <w:r>
        <w:t>Администрация городского поселения «Нижний Одес» (</w:t>
      </w:r>
      <w:r>
        <w:rPr>
          <w:b/>
        </w:rPr>
        <w:t>организатор конкурса</w:t>
      </w:r>
      <w:r>
        <w:t xml:space="preserve">) (далее – Администрация ГП «Нижний Одес») сообщает о проведении конкурса по отбору управляющих организаций для управления многоквартирными домами, расположенными на территории городского поселения «Нижний Одес»,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реализован, а также многоквартирными домами, в которых доля муниципального образования городского поселения «Нижний Одес» в праве собственности на общее имущество в многоквартирных домах, составляет более чем 50 процентов. </w:t>
      </w:r>
    </w:p>
    <w:p>
      <w:pPr>
        <w:jc w:val="both"/>
        <w:rPr>
          <w:b/>
        </w:rPr>
      </w:pPr>
      <w:r>
        <w:t xml:space="preserve">       </w:t>
      </w:r>
      <w:r>
        <w:rPr>
          <w:i/>
        </w:rPr>
        <w:t xml:space="preserve">        </w:t>
      </w:r>
      <w:r>
        <w:rPr>
          <w:b/>
          <w:i/>
        </w:rPr>
        <w:t xml:space="preserve">1. Основание проведения открытого конкурса </w:t>
      </w:r>
      <w:r>
        <w:rPr>
          <w:b/>
          <w:bCs/>
          <w:i/>
          <w:iCs/>
        </w:rPr>
        <w:t>и нормативные правовые акты, на основании которых проводится конкурс</w:t>
      </w:r>
      <w:r>
        <w:rPr>
          <w:b/>
        </w:rPr>
        <w:t xml:space="preserve">. </w:t>
      </w:r>
    </w:p>
    <w:p>
      <w:pPr>
        <w:adjustRightInd/>
        <w:ind w:firstLine="540"/>
        <w:autoSpaceDE w:val="off"/>
        <w:autoSpaceDN w:val="off"/>
        <w:jc w:val="both"/>
      </w:pPr>
      <w:r>
        <w:t xml:space="preserve">1) 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</w:p>
    <w:p>
      <w:pPr>
        <w:adjustRightInd/>
        <w:ind w:firstLine="540"/>
        <w:autoSpaceDE w:val="off"/>
        <w:autoSpaceDN w:val="off"/>
        <w:jc w:val="both"/>
      </w:pPr>
      <w:r>
        <w:t>2) Часть 2 ст. 163 доля муниципального образования городского поселения «Нижний Одес» в праве общей собственности на общее имущество в многоквартирных домах составляет более чем 50 процентов. Конкурс проводится на основании ст.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>
      <w:pPr>
        <w:adjustRightInd/>
        <w:ind w:firstLine="540"/>
        <w:autoSpaceDE w:val="off"/>
        <w:autoSpaceDN w:val="off"/>
        <w:jc w:val="both"/>
        <w:rPr>
          <w:b/>
          <w:bCs/>
          <w:i/>
        </w:rPr>
      </w:pPr>
      <w:r>
        <w:rPr>
          <w:i/>
        </w:rPr>
        <w:t xml:space="preserve">        </w:t>
      </w:r>
      <w:r>
        <w:rPr>
          <w:b/>
          <w:i/>
        </w:rPr>
        <w:t>2. Н</w:t>
      </w:r>
      <w:r>
        <w:rPr>
          <w:b/>
          <w:bCs/>
          <w:i/>
        </w:rPr>
        <w:t>аименование, место нахождения, почтовый адрес и адрес электронной почты, номер телефона организатора конкурса:</w:t>
      </w:r>
    </w:p>
    <w:p>
      <w:pPr>
        <w:jc w:val="both"/>
      </w:pPr>
      <w:r>
        <w:rPr>
          <w:b/>
        </w:rPr>
        <w:t>Организатор конкурса</w:t>
      </w:r>
      <w:r>
        <w:rPr>
          <w:b/>
          <w:i/>
        </w:rPr>
        <w:t xml:space="preserve"> –</w:t>
      </w:r>
      <w:r>
        <w:t xml:space="preserve"> Администрация ГП «Нижний Одес»</w:t>
      </w:r>
    </w:p>
    <w:p>
      <w:pPr>
        <w:jc w:val="both"/>
      </w:pPr>
      <w:r>
        <w:rPr>
          <w:b/>
        </w:rPr>
        <w:t xml:space="preserve">Адрес электронной почты: </w:t>
      </w:r>
      <w:r>
        <w:rPr>
          <w:lang w:val="en-US"/>
          <w:b/>
        </w:rPr>
        <w:t>E</w:t>
      </w:r>
      <w:r>
        <w:rPr>
          <w:b/>
        </w:rPr>
        <w:t>-</w:t>
      </w:r>
      <w:r>
        <w:rPr>
          <w:lang w:val="en-US"/>
          <w:b/>
        </w:rPr>
        <w:t>mail</w:t>
      </w:r>
      <w:r>
        <w:rPr>
          <w:b/>
        </w:rPr>
        <w:t xml:space="preserve">: </w:t>
      </w:r>
      <w:r>
        <w:rPr>
          <w:lang w:val="en-US"/>
        </w:rPr>
        <w:t>gpodes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>
      <w:pPr>
        <w:jc w:val="both"/>
      </w:pPr>
      <w:r>
        <w:rPr>
          <w:b/>
        </w:rPr>
        <w:t>Почтовый адрес и адрес местонахождения</w:t>
      </w:r>
      <w:r>
        <w:t>:</w:t>
      </w:r>
      <w:r>
        <w:rPr>
          <w:b/>
        </w:rPr>
        <w:t xml:space="preserve">  169523 </w:t>
      </w:r>
      <w:r>
        <w:t>г. Сосногорск, пгт. Нижний Одес, пл. Ленина, 3; 3 этаж.</w:t>
      </w:r>
    </w:p>
    <w:p>
      <w:pPr>
        <w:jc w:val="both"/>
      </w:pPr>
      <w:r>
        <w:rPr>
          <w:b/>
        </w:rPr>
        <w:t>Контактные лица и телефоны</w:t>
      </w:r>
      <w:r>
        <w:t>:</w:t>
      </w:r>
      <w:r>
        <w:rPr>
          <w:b/>
        </w:rPr>
        <w:t xml:space="preserve"> </w:t>
      </w:r>
      <w:r>
        <w:t>Доброва Юлия Владимировна, тел. 8(82149) 2-22-84, Ковтун Лидия Николаевна, тел.8(82149) 2-26-10</w:t>
      </w:r>
    </w:p>
    <w:p>
      <w:pPr>
        <w:adjustRightInd/>
        <w:ind w:firstLine="540"/>
        <w:autoSpaceDE w:val="off"/>
        <w:autoSpaceDN w:val="off"/>
        <w:jc w:val="both"/>
        <w:rPr>
          <w:bCs/>
        </w:rPr>
      </w:pPr>
      <w:r>
        <w:rPr>
          <w:b/>
          <w:bCs/>
          <w:i/>
        </w:rPr>
        <w:t xml:space="preserve">       3. Характеристика объекта конкурса, </w:t>
      </w:r>
      <w:r>
        <w:rPr>
          <w:bCs/>
        </w:rP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>
      <w:pPr>
        <w:rPr>
          <w:b/>
          <w:bCs/>
          <w:i/>
        </w:rPr>
      </w:pPr>
      <w:r>
        <w:rPr>
          <w:b/>
          <w:bCs/>
          <w:i/>
        </w:rPr>
        <w:t>Лот 1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749"/>
        <w:gridCol w:w="1249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249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1289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1289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Нефтяников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56880,75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507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56880,75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3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1289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4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850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655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5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957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68866,79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507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68866,79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6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926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7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48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801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685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</w:p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8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67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801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Транспортная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685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>Лот 9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>
        <w:trPr>
          <w:trHeight w:val="255" w:hRule="atLeast"/>
        </w:trPr>
        <w:tc>
          <w:tcPr>
            <w:tcW w:w="46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дома, кв. м</w:t>
            </w:r>
          </w:p>
        </w:tc>
        <w:tc>
          <w:tcPr>
            <w:tcW w:w="1167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801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Комсомольская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«а»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685" w:hRule="atLeast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/>
    <w:p>
      <w:pPr>
        <w:rPr>
          <w:b/>
          <w:bCs/>
          <w:i/>
        </w:rPr>
      </w:pPr>
    </w:p>
    <w:p>
      <w:pPr>
        <w:rPr>
          <w:b/>
          <w:bCs/>
          <w:i/>
        </w:rPr>
      </w:pPr>
    </w:p>
    <w:p>
      <w:pPr>
        <w:rPr>
          <w:b/>
          <w:bCs/>
          <w:i/>
        </w:rPr>
      </w:pPr>
      <w:r>
        <w:rPr>
          <w:b/>
          <w:bCs/>
          <w:i/>
        </w:rPr>
        <w:t xml:space="preserve">         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в соответствии с  приложением № 5 к конкурсной документации</w:t>
      </w:r>
      <w:r>
        <w:rPr>
          <w:b/>
          <w:bCs/>
          <w:i/>
        </w:rPr>
        <w:tab/>
      </w:r>
    </w:p>
    <w:p>
      <w:pPr>
        <w:adjustRightInd/>
        <w:autoSpaceDE w:val="off"/>
        <w:autoSpaceDN w:val="off"/>
        <w:jc w:val="both"/>
        <w:rPr>
          <w:b/>
          <w:bCs/>
          <w:i/>
        </w:rPr>
      </w:pPr>
      <w:r>
        <w:rPr>
          <w:b/>
          <w:bCs/>
          <w:i/>
        </w:rPr>
        <w:t xml:space="preserve">        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625"/>
        <w:gridCol w:w="4680"/>
      </w:tblGrid>
      <w:tr>
        <w:trPr>
          <w:trHeight w:val="20" w:hRule="atLeast"/>
        </w:trPr>
        <w:tc>
          <w:tcPr>
            <w:tcW w:w="1260" w:type="dxa"/>
          </w:tcPr>
          <w:p>
            <w:pPr>
              <w:jc w:val="center"/>
            </w:pPr>
            <w:r>
              <w:t>№ лота</w:t>
            </w:r>
          </w:p>
        </w:tc>
        <w:tc>
          <w:tcPr>
            <w:tcW w:w="8625" w:type="dxa"/>
          </w:tcPr>
          <w:p>
            <w:pPr>
              <w:jc w:val="center"/>
            </w:pPr>
            <w:r>
              <w:t>Название  контракта</w:t>
            </w:r>
          </w:p>
        </w:tc>
        <w:tc>
          <w:tcPr>
            <w:tcW w:w="4680" w:type="dxa"/>
          </w:tcPr>
          <w:p>
            <w:pPr>
              <w:jc w:val="center"/>
            </w:pPr>
            <w:r>
              <w:t>Годовая стоимость, руб.</w:t>
            </w:r>
          </w:p>
        </w:tc>
      </w:tr>
      <w:tr>
        <w:trPr>
          <w:trHeight w:val="20" w:hRule="atLeast"/>
        </w:trPr>
        <w:tc>
          <w:tcPr>
            <w:tcW w:w="1260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1</w:t>
            </w:r>
          </w:p>
        </w:tc>
        <w:tc>
          <w:tcPr>
            <w:tcW w:w="8625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- 2998,8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 1 дом</w:t>
            </w:r>
          </w:p>
        </w:tc>
        <w:tc>
          <w:tcPr>
            <w:tcW w:w="4680" w:type="dxa"/>
          </w:tcPr>
          <w:p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Стоимость  содержания  жилых  домов  в  год  - </w:t>
            </w:r>
            <w:r>
              <w:t xml:space="preserve">976288,8  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- 2096,6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- 682569,0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- 2650,1 м2 –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- 862766,52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- 2787,7 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- 907563,6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- 2538,4 м2 –  1  домов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- 826401,48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6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- 666,9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- 217115,88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7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- 665,4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- 216627,6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- 423,4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- 137842,08</w:t>
            </w:r>
          </w:p>
        </w:tc>
      </w:tr>
      <w:tr>
        <w:trPr>
          <w:trHeight w:val="20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9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 многоквартирными  домами, содержание, текущий ремонт  мест  общего пользования  - общей  жилой площадью  - 260,1 м2 –  1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 содержания  жилых  домов  в  год  - 84678,12</w:t>
            </w:r>
          </w:p>
        </w:tc>
      </w:tr>
    </w:tbl>
    <w:p>
      <w:pPr>
        <w:ind w:firstLine="540"/>
        <w:jc w:val="both"/>
        <w:rPr>
          <w:b/>
          <w:i/>
        </w:rPr>
      </w:pPr>
    </w:p>
    <w:p>
      <w:pPr>
        <w:ind w:firstLine="540"/>
        <w:jc w:val="both"/>
        <w:rPr>
          <w:color w:val="00FFFF"/>
        </w:rPr>
      </w:pPr>
      <w:r>
        <w:rPr>
          <w:b/>
          <w:i/>
        </w:rPr>
        <w:t>6. Перечень коммунальных услуг, предоставляемых управляющей организацией:</w:t>
      </w:r>
    </w:p>
    <w:p>
      <w:pPr>
        <w:ind w:left="0" w:firstLine="567"/>
        <w:jc w:val="both"/>
        <w:numPr>
          <w:ilvl w:val="0"/>
          <w:numId w:val="1"/>
        </w:numPr>
        <w:tabs>
          <w:tab w:val="left"/>
        </w:tabs>
      </w:pPr>
      <w:r>
        <w:t>Электроснабжение (количество электрической энергии, подаваемой на работу приборов освещения помещений общего пользования и для работы электрического оборудования, входящего в состав общего имущества в многоквартирном доме).</w:t>
      </w:r>
    </w:p>
    <w:p>
      <w:pPr>
        <w:ind w:left="0" w:firstLine="567"/>
        <w:jc w:val="both"/>
        <w:numPr>
          <w:ilvl w:val="0"/>
          <w:numId w:val="1"/>
        </w:numPr>
        <w:tabs>
          <w:tab w:val="left"/>
        </w:tabs>
      </w:pPr>
      <w:r>
        <w:t>Отопление.</w:t>
      </w:r>
    </w:p>
    <w:p>
      <w:pPr>
        <w:ind w:left="0" w:firstLine="567"/>
        <w:jc w:val="both"/>
        <w:numPr>
          <w:ilvl w:val="0"/>
          <w:numId w:val="1"/>
        </w:numPr>
        <w:tabs>
          <w:tab w:val="left"/>
        </w:tabs>
      </w:pPr>
      <w:r>
        <w:t>Снабжение холодной водой.</w:t>
      </w:r>
    </w:p>
    <w:p>
      <w:pPr>
        <w:ind w:left="0" w:firstLine="567"/>
        <w:jc w:val="both"/>
        <w:numPr>
          <w:ilvl w:val="0"/>
          <w:numId w:val="1"/>
        </w:numPr>
        <w:tabs>
          <w:tab w:val="left"/>
        </w:tabs>
      </w:pPr>
      <w:r>
        <w:t>Водоотведение.</w:t>
      </w:r>
    </w:p>
    <w:p>
      <w:pPr>
        <w:ind w:firstLine="567"/>
        <w:jc w:val="both"/>
        <w:tabs>
          <w:tab w:val="left"/>
        </w:tabs>
      </w:pPr>
      <w:r>
        <w:t>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>
      <w:pPr>
        <w:adjustRightInd/>
        <w:ind w:firstLine="540"/>
        <w:autoSpaceDE w:val="off"/>
        <w:autoSpaceDN w:val="off"/>
        <w:jc w:val="both"/>
        <w:rPr>
          <w:b/>
          <w:i/>
        </w:rPr>
      </w:pPr>
      <w:r>
        <w:rPr>
          <w:b/>
          <w:i/>
        </w:rPr>
        <w:t>7. Адрес официального сайта, на котором размещена конкурсная документация, срок, место и порядок предоставления конкурсной документации.</w:t>
      </w:r>
    </w:p>
    <w:p>
      <w:pPr>
        <w:ind w:firstLine="540"/>
        <w:jc w:val="both"/>
      </w:pPr>
      <w:r>
        <w:t>Конкурсная документация размещена организатором конкурса на сайте:</w:t>
      </w:r>
    </w:p>
    <w:p>
      <w:pPr>
        <w:ind w:firstLine="540"/>
        <w:jc w:val="both"/>
        <w:rPr>
          <w:u w:val="single" w:color="auto"/>
        </w:rPr>
      </w:pPr>
      <w:r>
        <w:rPr>
          <w:u w:val="single" w:color="auto"/>
        </w:rPr>
        <w:t xml:space="preserve">Нижний-одес.рф ; </w:t>
      </w:r>
      <w:r>
        <w:rPr>
          <w:lang w:val="en-US"/>
          <w:u w:val="single" w:color="auto"/>
        </w:rPr>
        <w:t>torgi</w:t>
      </w:r>
      <w:r>
        <w:rPr>
          <w:u w:val="single" w:color="auto"/>
        </w:rPr>
        <w:t>.</w:t>
      </w:r>
      <w:r>
        <w:rPr>
          <w:lang w:val="en-US"/>
          <w:u w:val="single" w:color="auto"/>
        </w:rPr>
        <w:t>gov</w:t>
      </w:r>
      <w:r>
        <w:rPr>
          <w:u w:val="single" w:color="auto"/>
        </w:rPr>
        <w:t>.</w:t>
      </w:r>
      <w:r>
        <w:rPr>
          <w:lang w:val="en-US"/>
          <w:u w:val="single" w:color="auto"/>
        </w:rPr>
        <w:t>ru</w:t>
      </w:r>
    </w:p>
    <w:p>
      <w:pPr>
        <w:ind w:firstLine="540"/>
        <w:jc w:val="both"/>
      </w:pPr>
      <w:r>
        <w:rPr>
          <w:u w:val="single" w:color="auto"/>
        </w:rPr>
        <w:t xml:space="preserve">Срок: </w:t>
      </w:r>
      <w:r>
        <w:t>Ежедневно в рабочие дни: с 9 ч.00 мин. до 13 ч.00 мин. и с 14ч. 00 мин. до 17 ч. 00 мин. (время московское), начиная с момента публикации извещения о проведении конкурса и до момента вскрытия конвертов с заявками.</w:t>
      </w:r>
    </w:p>
    <w:p>
      <w:pPr>
        <w:ind w:firstLine="540"/>
        <w:jc w:val="both"/>
      </w:pPr>
      <w:r>
        <w:rPr>
          <w:u w:val="single" w:color="auto"/>
        </w:rPr>
        <w:t xml:space="preserve">Место: </w:t>
      </w:r>
      <w:r>
        <w:t>169523, Республика Коми, г. Сосногорск, пгт. Нижний Одес, пл. Ленина, 3, 3 этаж, отдел ЖКХ.</w:t>
      </w:r>
    </w:p>
    <w:p>
      <w:pPr>
        <w:ind w:firstLine="540"/>
        <w:jc w:val="both"/>
      </w:pPr>
      <w:r>
        <w:rPr>
          <w:u w:val="single" w:color="auto"/>
        </w:rPr>
        <w:t xml:space="preserve">Порядок: </w:t>
      </w:r>
      <w:r>
        <w:t xml:space="preserve">Конкурсная документация предоставляется на основании заявления любого заинтересованного лица, поданного в письменной форме в течении 1 рабочего дня с даты получения заявления. Документация предоставляется в письменной форме либо в форме электронного документа. </w:t>
      </w:r>
    </w:p>
    <w:p>
      <w:pPr>
        <w:adjustRightInd/>
        <w:ind w:firstLine="540"/>
        <w:autoSpaceDE w:val="off"/>
        <w:autoSpaceDN w:val="off"/>
        <w:jc w:val="both"/>
        <w:rPr>
          <w:b/>
          <w:i/>
        </w:rPr>
      </w:pPr>
      <w:r>
        <w:rPr>
          <w:b/>
          <w:i/>
        </w:rPr>
        <w:t>8. Место, порядок и срок подачи заявок на участие в конкурсе.</w:t>
      </w:r>
    </w:p>
    <w:p>
      <w:pPr>
        <w:jc w:val="both"/>
      </w:pPr>
      <w:r>
        <w:t xml:space="preserve"> </w:t>
      </w:r>
      <w:r>
        <w:tab/>
      </w:r>
      <w:r>
        <w:rPr>
          <w:b/>
        </w:rPr>
        <w:t>Заявки на участие в конкурсе</w:t>
      </w:r>
      <w:r>
        <w:t xml:space="preserve"> могут быть представлены </w:t>
      </w:r>
      <w:r>
        <w:rPr>
          <w:b/>
        </w:rPr>
        <w:t>в письменной форме</w:t>
      </w:r>
      <w:r>
        <w:t xml:space="preserve"> по адресу: 169523, РК, г. Сосногорск, пгт. Нижний Одес, пл. Ленина, 3, 3 этаж, отдел ЖКХ</w:t>
      </w:r>
    </w:p>
    <w:p>
      <w:pPr>
        <w:jc w:val="both"/>
        <w:rPr>
          <w:b/>
          <w:color w:val="0000FF"/>
          <w:highlight w:val="yellow"/>
          <w:u w:val="single" w:color="auto"/>
        </w:rPr>
      </w:pPr>
      <w:r>
        <w:t xml:space="preserve">Срок начала приема заявок </w:t>
      </w:r>
      <w:r>
        <w:rPr>
          <w:b/>
        </w:rPr>
        <w:t xml:space="preserve">– </w:t>
      </w:r>
      <w:r>
        <w:rPr>
          <w:b/>
          <w:color w:val="0000FF"/>
          <w:highlight w:val="yellow"/>
          <w:u w:val="single" w:color="auto"/>
        </w:rPr>
        <w:t>«15» апреля 2020 года</w:t>
      </w:r>
    </w:p>
    <w:p>
      <w:pPr>
        <w:jc w:val="both"/>
      </w:pPr>
      <w:r>
        <w:rPr>
          <w:highlight w:val="yellow"/>
        </w:rPr>
        <w:t xml:space="preserve">            Срок окончания приема заявок – </w:t>
      </w:r>
      <w:r>
        <w:rPr>
          <w:b/>
          <w:color w:val="0000FF"/>
          <w:highlight w:val="yellow"/>
          <w:u w:val="single" w:color="auto"/>
        </w:rPr>
        <w:t>«17» мая 2020 года 10.00 часов</w:t>
      </w:r>
      <w:r>
        <w:rPr>
          <w:b/>
          <w:color w:val="0000FF"/>
          <w:u w:val="single" w:color="auto"/>
        </w:rPr>
        <w:t xml:space="preserve"> </w:t>
      </w:r>
    </w:p>
    <w:p>
      <w:pPr>
        <w:jc w:val="both"/>
      </w:pPr>
      <w:r>
        <w:t xml:space="preserve">            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>
      <w:pPr>
        <w:adjustRightInd/>
        <w:ind w:firstLine="540"/>
        <w:autoSpaceDE w:val="off"/>
        <w:autoSpaceDN w:val="off"/>
        <w:jc w:val="both"/>
        <w:rPr>
          <w:b/>
          <w:i/>
        </w:rPr>
      </w:pPr>
      <w:r>
        <w:rPr>
          <w:b/>
          <w:i/>
        </w:rPr>
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>
      <w:pPr>
        <w:jc w:val="both"/>
        <w:rPr>
          <w:b/>
          <w:highlight w:val="yellow"/>
          <w:u w:val="single" w:color="auto"/>
        </w:rPr>
      </w:pPr>
      <w:r>
        <w:rPr>
          <w:b/>
        </w:rPr>
        <w:tab/>
      </w:r>
      <w:r>
        <w:rPr>
          <w:b/>
        </w:rPr>
        <w:t>Вскрытие конвертов с заявками</w:t>
      </w:r>
      <w:r>
        <w:t xml:space="preserve"> будет производиться конкурсной комиссией </w:t>
      </w:r>
      <w:r>
        <w:rPr>
          <w:highlight w:val="yellow"/>
        </w:rPr>
        <w:t>«</w:t>
      </w:r>
      <w:r>
        <w:rPr>
          <w:b/>
          <w:color w:val="0000FF"/>
          <w:highlight w:val="yellow"/>
          <w:u w:val="single" w:color="auto"/>
        </w:rPr>
        <w:t xml:space="preserve">18» мая 2020 года в 11.00 часов </w:t>
      </w:r>
      <w:r>
        <w:rPr>
          <w:b/>
          <w:highlight w:val="yellow"/>
          <w:u w:val="single" w:color="auto"/>
        </w:rPr>
        <w:t>по адресу</w:t>
      </w:r>
      <w:r>
        <w:rPr>
          <w:b/>
          <w:highlight w:val="yellow"/>
        </w:rPr>
        <w:t xml:space="preserve">: </w:t>
      </w:r>
      <w:r>
        <w:rPr>
          <w:b/>
          <w:highlight w:val="yellow"/>
          <w:u w:val="single" w:color="auto"/>
        </w:rPr>
        <w:t>РК г.Сосногорск, пгт. Нижний Одес, пл. Ленина, 3, 3 этаж, в зале заседаний.</w:t>
      </w:r>
    </w:p>
    <w:p>
      <w:pPr>
        <w:jc w:val="both"/>
        <w:rPr>
          <w:b/>
          <w:highlight w:val="yellow"/>
          <w:u w:val="single" w:color="auto"/>
        </w:rPr>
      </w:pPr>
      <w:r>
        <w:rPr>
          <w:highlight w:val="yellow"/>
        </w:rPr>
        <w:t xml:space="preserve">      </w:t>
      </w:r>
      <w:r>
        <w:rPr>
          <w:highlight w:val="yellow"/>
        </w:rPr>
        <w:tab/>
      </w:r>
      <w:r>
        <w:rPr>
          <w:b/>
          <w:highlight w:val="yellow"/>
        </w:rPr>
        <w:t>Рассмотрение конкурсной комиссией заявок на участие в конкурсе</w:t>
      </w:r>
      <w:r>
        <w:rPr>
          <w:highlight w:val="yellow"/>
        </w:rPr>
        <w:t xml:space="preserve"> будет производиться </w:t>
      </w:r>
      <w:r>
        <w:rPr>
          <w:b/>
          <w:color w:val="0000FF"/>
          <w:highlight w:val="yellow"/>
          <w:u w:val="single" w:color="auto"/>
        </w:rPr>
        <w:t xml:space="preserve"> «18» мая 2020 г.  </w:t>
      </w:r>
      <w:r>
        <w:rPr>
          <w:b/>
          <w:highlight w:val="yellow"/>
        </w:rPr>
        <w:t xml:space="preserve">по адресу: </w:t>
      </w:r>
      <w:r>
        <w:rPr>
          <w:b/>
          <w:highlight w:val="yellow"/>
          <w:u w:val="single" w:color="auto"/>
        </w:rPr>
        <w:t>РК г. Сосногорск,  пгт. Нижний Одес, пл. Ленина, 3, 3 этаж, зал заседаний.</w:t>
      </w:r>
    </w:p>
    <w:p>
      <w:pPr>
        <w:jc w:val="both"/>
        <w:rPr>
          <w:b/>
          <w:color w:val="0000FF"/>
          <w:u w:val="single" w:color="auto"/>
        </w:rPr>
      </w:pPr>
      <w:r>
        <w:rPr>
          <w:b/>
          <w:i/>
          <w:highlight w:val="yellow"/>
        </w:rPr>
        <w:t xml:space="preserve">        10. Место, дата и время проведения конкурса: </w:t>
      </w:r>
      <w:r>
        <w:rPr>
          <w:b/>
          <w:i/>
          <w:highlight w:val="yellow"/>
          <w:u w:val="single" w:color="auto"/>
        </w:rPr>
        <w:t xml:space="preserve">РК </w:t>
      </w:r>
      <w:r>
        <w:rPr>
          <w:b/>
          <w:highlight w:val="yellow"/>
          <w:u w:val="single" w:color="auto"/>
        </w:rPr>
        <w:t xml:space="preserve"> г. Сосногорск, пгт. Нижний Одес, пл. Ленина, 3, 3 этаж, зал заседаний, </w:t>
      </w:r>
      <w:r>
        <w:rPr>
          <w:b/>
          <w:color w:val="0000FF"/>
          <w:highlight w:val="yellow"/>
          <w:u w:val="single" w:color="auto"/>
        </w:rPr>
        <w:t>«19» мая 2020 года в 10.00 часов</w:t>
      </w:r>
    </w:p>
    <w:p>
      <w:pPr>
        <w:jc w:val="both"/>
        <w:rPr>
          <w:b/>
          <w:color w:val="0000FF"/>
          <w:u w:val="single" w:color="auto"/>
        </w:rPr>
      </w:pPr>
    </w:p>
    <w:p>
      <w:pPr>
        <w:jc w:val="both"/>
        <w:rPr>
          <w:b/>
          <w:color w:val="0000FF"/>
          <w:u w:val="single" w:color="auto"/>
        </w:rPr>
      </w:pPr>
    </w:p>
    <w:p>
      <w:pPr>
        <w:jc w:val="both"/>
        <w:rPr>
          <w:b/>
          <w:color w:val="0000FF"/>
          <w:u w:val="single" w:color="auto"/>
        </w:rPr>
      </w:pPr>
    </w:p>
    <w:tbl>
      <w:tblPr>
        <w:tblW w:w="11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2780"/>
        <w:gridCol w:w="2920"/>
        <w:gridCol w:w="2740"/>
        <w:gridCol w:w="2380"/>
      </w:tblGrid>
      <w:tr>
        <w:trPr>
          <w:trHeight w:val="70" w:hRule="atLeast"/>
        </w:trPr>
        <w:tc>
          <w:tcPr>
            <w:tcW w:w="1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 Размер обеспечения заявки на участие в конкурсе составляет:</w:t>
            </w:r>
          </w:p>
        </w:tc>
      </w:tr>
      <w:tr>
        <w:trPr>
          <w:trHeight w:val="285" w:hRule="atLeast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обеспечения заявки на участие в конкурсе (в рублях)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 размера обеспечения заявки на участие в конкурсе</w:t>
            </w:r>
          </w:p>
        </w:tc>
      </w:tr>
      <w:tr>
        <w:trPr>
          <w:trHeight w:val="255" w:hRule="atLeast"/>
        </w:trPr>
        <w:tc>
          <w:tcPr>
            <w:tcW w:w="114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7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= 3*4*5</w:t>
            </w:r>
          </w:p>
        </w:tc>
      </w:tr>
      <w:tr>
        <w:trPr>
          <w:trHeight w:val="765" w:hRule="atLeast"/>
        </w:trPr>
        <w:tc>
          <w:tcPr>
            <w:tcW w:w="114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7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и ремонт жилого помещения на 1 кв.м. (в рублях)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обеспечения заявки (в 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жилых и нежилых помещений (в кв.м.)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4798,75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3537,6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6458,70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4761,3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6393,18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4713,0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5921,52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4365,3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4827,91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3559,1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2720,32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2005,4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2046,55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1508,7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827,87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610,3</w:t>
            </w:r>
          </w:p>
        </w:tc>
      </w:tr>
      <w:tr>
        <w:trPr>
          <w:trHeight w:val="20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659,8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486,4</w:t>
            </w:r>
          </w:p>
        </w:tc>
      </w:tr>
    </w:tbl>
    <w:p>
      <w:pPr>
        <w:jc w:val="both"/>
      </w:pPr>
    </w:p>
    <w:sectPr>
      <w:pgSz w:w="16838" w:h="11906" w:orient="landscape"/>
      <w:pgMar w:top="567" w:right="828" w:bottom="284" w:left="567" w:header="5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6bf32d2"/>
    <w:multiLevelType w:val="hybridMultilevel"/>
    <w:tmpl w:val="ad2c149e"/>
    <w:lvl w:ilvl="0" w:tplc="419000f">
      <w:start w:val="1"/>
      <w:lvlText w:val="%1."/>
      <w:lvlJc w:val="left"/>
      <w:pPr>
        <w:ind w:left="1080" w:hanging="360"/>
        <w:tabs>
          <w:tab w:val="num" w:pos="1080"/>
        </w:tabs>
      </w:pPr>
    </w:lvl>
    <w:lvl w:ilvl="1" w:tentative="on" w:tplc="4190019">
      <w:start w:val="1"/>
      <w:numFmt w:val="lowerLetter"/>
      <w:lvlText w:val="%2."/>
      <w:lvlJc w:val="left"/>
      <w:pPr>
        <w:ind w:left="1800" w:hanging="360"/>
        <w:tabs>
          <w:tab w:val="num" w:pos="1800"/>
        </w:tabs>
      </w:pPr>
    </w:lvl>
    <w:lvl w:ilvl="2" w:tentative="on" w:tplc="419001b">
      <w:start w:val="1"/>
      <w:numFmt w:val="lowerRoman"/>
      <w:lvlText w:val="%3."/>
      <w:lvlJc w:val="right"/>
      <w:pPr>
        <w:ind w:left="2520" w:hanging="180"/>
        <w:tabs>
          <w:tab w:val="num" w:pos="2520"/>
        </w:tabs>
      </w:pPr>
    </w:lvl>
    <w:lvl w:ilvl="3" w:tentative="on" w:tplc="419000f">
      <w:start w:val="1"/>
      <w:lvlText w:val="%4."/>
      <w:lvlJc w:val="left"/>
      <w:pPr>
        <w:ind w:left="3240" w:hanging="360"/>
        <w:tabs>
          <w:tab w:val="num" w:pos="3240"/>
        </w:tabs>
      </w:pPr>
    </w:lvl>
    <w:lvl w:ilvl="4" w:tentative="on" w:tplc="4190019">
      <w:start w:val="1"/>
      <w:numFmt w:val="lowerLetter"/>
      <w:lvlText w:val="%5."/>
      <w:lvlJc w:val="left"/>
      <w:pPr>
        <w:ind w:left="3960" w:hanging="360"/>
        <w:tabs>
          <w:tab w:val="num" w:pos="3960"/>
        </w:tabs>
      </w:pPr>
    </w:lvl>
    <w:lvl w:ilvl="5" w:tentative="on" w:tplc="419001b">
      <w:start w:val="1"/>
      <w:numFmt w:val="lowerRoman"/>
      <w:lvlText w:val="%6."/>
      <w:lvlJc w:val="right"/>
      <w:pPr>
        <w:ind w:left="4680" w:hanging="180"/>
        <w:tabs>
          <w:tab w:val="num" w:pos="4680"/>
        </w:tabs>
      </w:pPr>
    </w:lvl>
    <w:lvl w:ilvl="6" w:tentative="on" w:tplc="419000f">
      <w:start w:val="1"/>
      <w:lvlText w:val="%7."/>
      <w:lvlJc w:val="left"/>
      <w:pPr>
        <w:ind w:left="5400" w:hanging="360"/>
        <w:tabs>
          <w:tab w:val="num" w:pos="5400"/>
        </w:tabs>
      </w:pPr>
    </w:lvl>
    <w:lvl w:ilvl="7" w:tentative="on" w:tplc="4190019">
      <w:start w:val="1"/>
      <w:numFmt w:val="lowerLetter"/>
      <w:lvlText w:val="%8."/>
      <w:lvlJc w:val="left"/>
      <w:pPr>
        <w:ind w:left="6120" w:hanging="360"/>
        <w:tabs>
          <w:tab w:val="num" w:pos="6120"/>
        </w:tabs>
      </w:pPr>
    </w:lvl>
    <w:lvl w:ilvl="8" w:tentative="on" w:tplc="419001b">
      <w:start w:val="1"/>
      <w:numFmt w:val="lowerRoman"/>
      <w:lvlText w:val="%9."/>
      <w:lvlJc w:val="right"/>
      <w:pPr>
        <w:ind w:left="6840" w:hanging="180"/>
        <w:tabs>
          <w:tab w:val="num" w:pos="684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  <w:rPr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Org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/>
  <dc:creator>user</dc:creator>
  <cp:keywords/>
  <dc:description/>
  <cp:lastModifiedBy>AcEr</cp:lastModifiedBy>
  <cp:revision>1</cp:revision>
  <dcterms:created xsi:type="dcterms:W3CDTF">2019-03-19T07:05:00Z</dcterms:created>
  <dcterms:modified xsi:type="dcterms:W3CDTF">2020-04-15T11:59:16Z</dcterms:modified>
  <cp:lastPrinted>2019-07-22T06:39:00Z</cp:lastPrinted>
  <cp:version>0900.0000.01</cp:version>
</cp:coreProperties>
</file>